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Brisbane,</w:t>
      </w:r>
      <w:r>
        <w:t xml:space="preserve"> </w:t>
      </w:r>
      <w:r>
        <w:t xml:space="preserve">Australia</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Brisbane, Australia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document outlines the comprehensive Experiment Protocol for the subject designated as "Mason." The experiment is designed to be conducted in Brisbane, Australia, taking into account the unique environmental, regulatory, and logistical conditions of this region. The primary objective of this protocol is to ensure that all procedures are carried out with precision, safety, and adherence to ethical standards.</w:t>
      </w:r>
    </w:p>
    <w:p>
      <w:pPr>
        <w:pStyle w:val="BodyText"/>
      </w:pPr>
      <w:r>
        <w:t xml:space="preserve">Mason is the focal point of this study, and all experimental parameters are tailored to its specific characteristics. Whether Mason refers to a biological specimen, a technological device, or a material sample, this protocol provides a structured framework for investigation. The choice of Brisbane as the location is strategic, leveraging its advanced research facilities, favorable climate, and robust regulatory environment.</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performance, behavior, or properties of Mason under controlled conditions.</w:t>
      </w:r>
    </w:p>
    <w:p>
      <w:pPr>
        <w:numPr>
          <w:ilvl w:val="0"/>
          <w:numId w:val="1001"/>
        </w:numPr>
        <w:pStyle w:val="Compact"/>
      </w:pPr>
      <w:r>
        <w:t xml:space="preserve">To assess the impact of Brisbane's environmental factors on Mason's functionality or characteristics.</w:t>
      </w:r>
    </w:p>
    <w:p>
      <w:pPr>
        <w:numPr>
          <w:ilvl w:val="0"/>
          <w:numId w:val="1001"/>
        </w:numPr>
        <w:pStyle w:val="Compact"/>
      </w:pPr>
      <w:r>
        <w:t xml:space="preserve">To ensure compliance with Australian regulatory standards and ethical guidelines.</w:t>
      </w:r>
    </w:p>
    <w:p>
      <w:pPr>
        <w:numPr>
          <w:ilvl w:val="0"/>
          <w:numId w:val="1001"/>
        </w:numPr>
        <w:pStyle w:val="Compact"/>
      </w:pPr>
      <w:r>
        <w:t xml:space="preserve">To generate reliable data that can be used for further research or practical applications.</w:t>
      </w:r>
    </w:p>
    <w:p>
      <w:pPr>
        <w:pStyle w:val="FirstParagraph"/>
      </w:pPr>
      <w:r>
        <w:t xml:space="preserve">3. Scope</w:t>
      </w:r>
    </w:p>
    <w:p>
      <w:pPr>
        <w:pStyle w:val="BodyText"/>
      </w:pPr>
      <w:r>
        <w:t xml:space="preserve">This protocol applies to all personnel involved in the experiment, including researchers, technicians, and support staff. It covers all phases of the experiment, from preparation and execution to data analysis and reporting. The scope is limited to activities conducted within the designated facilities in Brisbane, Australia, and does not extend to external locations unless explicitly authorized.</w:t>
      </w:r>
    </w:p>
    <w:p>
      <w:pPr>
        <w:pStyle w:val="BodyText"/>
      </w:pPr>
      <w:r>
        <w:t xml:space="preserve">4. Materials and Equipment</w:t>
      </w:r>
    </w:p>
    <w:p>
      <w:pPr>
        <w:pStyle w:val="BodyText"/>
      </w:pPr>
      <w:r>
        <w:t xml:space="preserve">The following materials and equipment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Mason</w:t>
            </w:r>
          </w:p>
        </w:tc>
        <w:tc>
          <w:tcPr/>
          <w:p>
            <w:pPr>
              <w:pStyle w:val="Compact"/>
              <w:jc w:val="left"/>
            </w:pPr>
            <w:r>
              <w:t xml:space="preserve">Primary subject of the experiment</w:t>
            </w:r>
          </w:p>
        </w:tc>
        <w:tc>
          <w:tcPr/>
          <w:p>
            <w:pPr>
              <w:pStyle w:val="Compact"/>
              <w:jc w:val="left"/>
            </w:pPr>
            <w:r>
              <w:t xml:space="preserve">1</w:t>
            </w:r>
          </w:p>
        </w:tc>
      </w:tr>
      <w:tr>
        <w:tc>
          <w:tcPr/>
          <w:p>
            <w:pPr>
              <w:pStyle w:val="Compact"/>
              <w:jc w:val="left"/>
            </w:pPr>
            <w:r>
              <w:t xml:space="preserve">Environmental Control System</w:t>
            </w:r>
          </w:p>
        </w:tc>
        <w:tc>
          <w:tcPr/>
          <w:p>
            <w:pPr>
              <w:pStyle w:val="Compact"/>
              <w:jc w:val="left"/>
            </w:pPr>
            <w:r>
              <w:t xml:space="preserve">To regulate temperature, humidity, and other factors</w:t>
            </w:r>
          </w:p>
        </w:tc>
        <w:tc>
          <w:tcPr/>
          <w:p>
            <w:pPr>
              <w:pStyle w:val="Compact"/>
              <w:jc w:val="left"/>
            </w:pPr>
            <w:r>
              <w:t xml:space="preserve">1</w:t>
            </w:r>
          </w:p>
        </w:tc>
      </w:tr>
      <w:tr>
        <w:tc>
          <w:tcPr/>
          <w:p>
            <w:pPr>
              <w:pStyle w:val="Compact"/>
              <w:jc w:val="left"/>
            </w:pPr>
            <w:r>
              <w:t xml:space="preserve">Data Acquisition Tools</w:t>
            </w:r>
          </w:p>
        </w:tc>
        <w:tc>
          <w:tcPr/>
          <w:p>
            <w:pPr>
              <w:pStyle w:val="Compact"/>
              <w:jc w:val="left"/>
            </w:pPr>
            <w:r>
              <w:t xml:space="preserve">Sensors, cameras, and recording devices</w:t>
            </w:r>
          </w:p>
        </w:tc>
        <w:tc>
          <w:tcPr/>
          <w:p>
            <w:pPr>
              <w:pStyle w:val="Compact"/>
              <w:jc w:val="left"/>
            </w:pPr>
            <w:r>
              <w:t xml:space="preserve">As needed</w:t>
            </w:r>
          </w:p>
        </w:tc>
      </w:tr>
      <w:tr>
        <w:tc>
          <w:tcPr/>
          <w:p>
            <w:pPr>
              <w:pStyle w:val="Compact"/>
              <w:jc w:val="left"/>
            </w:pPr>
            <w:r>
              <w:t xml:space="preserve">Safety Equipment</w:t>
            </w:r>
          </w:p>
        </w:tc>
        <w:tc>
          <w:tcPr/>
          <w:p>
            <w:pPr>
              <w:pStyle w:val="Compact"/>
              <w:jc w:val="left"/>
            </w:pPr>
            <w:r>
              <w:t xml:space="preserve">PPE, fire extinguishers, first aid kits</w:t>
            </w:r>
          </w:p>
        </w:tc>
        <w:tc>
          <w:tcPr/>
          <w:p>
            <w:pPr>
              <w:pStyle w:val="Compact"/>
              <w:jc w:val="left"/>
            </w:pPr>
            <w:r>
              <w:t xml:space="preserve">As required</w:t>
            </w:r>
          </w:p>
        </w:tc>
      </w:tr>
    </w:tbl>
    <w:p>
      <w:pPr>
        <w:pStyle w:val="BodyText"/>
      </w:pPr>
      <w:r>
        <w:t xml:space="preserve">5. Procedure</w:t>
      </w:r>
    </w:p>
    <w:p>
      <w:pPr>
        <w:pStyle w:val="BodyText"/>
      </w:pPr>
      <w:r>
        <w:t xml:space="preserve">The experiment will be conducted in the following steps:</w:t>
      </w:r>
    </w:p>
    <w:p>
      <w:pPr>
        <w:numPr>
          <w:ilvl w:val="0"/>
          <w:numId w:val="1002"/>
        </w:numPr>
        <w:pStyle w:val="Compact"/>
      </w:pPr>
      <w:r>
        <w:rPr>
          <w:bCs/>
          <w:b/>
        </w:rPr>
        <w:t xml:space="preserve">Preparation:</w:t>
      </w:r>
      <w:r>
        <w:t xml:space="preserve"> </w:t>
      </w:r>
      <w:r>
        <w:t xml:space="preserve">Ensure all materials and equipment are ready and calibrated. Verify that the experimental site in Brisbane meets the required conditions.</w:t>
      </w:r>
    </w:p>
    <w:p>
      <w:pPr>
        <w:numPr>
          <w:ilvl w:val="0"/>
          <w:numId w:val="1002"/>
        </w:numPr>
        <w:pStyle w:val="Compact"/>
      </w:pPr>
      <w:r>
        <w:rPr>
          <w:bCs/>
          <w:b/>
        </w:rPr>
        <w:t xml:space="preserve">Setup:</w:t>
      </w:r>
      <w:r>
        <w:t xml:space="preserve"> </w:t>
      </w:r>
      <w:r>
        <w:t xml:space="preserve">Position Mason according to the experimental design. Configure the environmental control system to maintain the desired parameters.</w:t>
      </w:r>
    </w:p>
    <w:p>
      <w:pPr>
        <w:numPr>
          <w:ilvl w:val="0"/>
          <w:numId w:val="1002"/>
        </w:numPr>
        <w:pStyle w:val="Compact"/>
      </w:pPr>
      <w:r>
        <w:rPr>
          <w:bCs/>
          <w:b/>
        </w:rPr>
        <w:t xml:space="preserve">Execution:</w:t>
      </w:r>
      <w:r>
        <w:t xml:space="preserve"> </w:t>
      </w:r>
      <w:r>
        <w:t xml:space="preserve">Initiate the experiment and monitor Mason's response continuously. Record all data using the designated tools.</w:t>
      </w:r>
    </w:p>
    <w:p>
      <w:pPr>
        <w:numPr>
          <w:ilvl w:val="0"/>
          <w:numId w:val="1002"/>
        </w:numPr>
        <w:pStyle w:val="Compact"/>
      </w:pPr>
      <w:r>
        <w:rPr>
          <w:bCs/>
          <w:b/>
        </w:rPr>
        <w:t xml:space="preserve">Observation:</w:t>
      </w:r>
      <w:r>
        <w:t xml:space="preserve"> </w:t>
      </w:r>
      <w:r>
        <w:t xml:space="preserve">Document any anomalies or unexpected behaviors exhibited by Mason during the experiment.</w:t>
      </w:r>
    </w:p>
    <w:p>
      <w:pPr>
        <w:numPr>
          <w:ilvl w:val="0"/>
          <w:numId w:val="1002"/>
        </w:numPr>
        <w:pStyle w:val="Compact"/>
      </w:pPr>
      <w:r>
        <w:rPr>
          <w:bCs/>
          <w:b/>
        </w:rPr>
        <w:t xml:space="preserve">Termination:</w:t>
      </w:r>
      <w:r>
        <w:t xml:space="preserve"> </w:t>
      </w:r>
      <w:r>
        <w:t xml:space="preserve">Conclude the experiment once the predefined criteria are met. Safely dismantle the setup and store Mason as per protocol.</w:t>
      </w:r>
    </w:p>
    <w:p>
      <w:pPr>
        <w:pStyle w:val="FirstParagraph"/>
      </w:pPr>
      <w:r>
        <w:t xml:space="preserve">6. Safety Considerations</w:t>
      </w:r>
    </w:p>
    <w:p>
      <w:pPr>
        <w:pStyle w:val="BodyText"/>
      </w:pPr>
      <w:r>
        <w:t xml:space="preserve">Safety is a paramount concern in this experiment. All personnel must adhere to the following guidelines:</w:t>
      </w:r>
    </w:p>
    <w:p>
      <w:pPr>
        <w:numPr>
          <w:ilvl w:val="0"/>
          <w:numId w:val="1003"/>
        </w:numPr>
        <w:pStyle w:val="Compact"/>
      </w:pPr>
      <w:r>
        <w:t xml:space="preserve">Wear appropriate personal protective equipment (PPE) at all times.</w:t>
      </w:r>
    </w:p>
    <w:p>
      <w:pPr>
        <w:numPr>
          <w:ilvl w:val="0"/>
          <w:numId w:val="1003"/>
        </w:numPr>
        <w:pStyle w:val="Compact"/>
      </w:pPr>
      <w:r>
        <w:t xml:space="preserve">Ensure that emergency exits and safety equipment are accessible.</w:t>
      </w:r>
    </w:p>
    <w:p>
      <w:pPr>
        <w:numPr>
          <w:ilvl w:val="0"/>
          <w:numId w:val="1003"/>
        </w:numPr>
        <w:pStyle w:val="Compact"/>
      </w:pPr>
      <w:r>
        <w:t xml:space="preserve">Follow Brisbane's local safety regulations and Australian national standards.</w:t>
      </w:r>
    </w:p>
    <w:p>
      <w:pPr>
        <w:numPr>
          <w:ilvl w:val="0"/>
          <w:numId w:val="1003"/>
        </w:numPr>
        <w:pStyle w:val="Compact"/>
      </w:pPr>
      <w:r>
        <w:t xml:space="preserve">Report any incidents or hazards immediately to the supervising authority.</w:t>
      </w:r>
    </w:p>
    <w:p>
      <w:pPr>
        <w:pStyle w:val="FirstParagraph"/>
      </w:pPr>
      <w:r>
        <w:t xml:space="preserve">7. Data Analysis</w:t>
      </w:r>
    </w:p>
    <w:p>
      <w:pPr>
        <w:pStyle w:val="BodyText"/>
      </w:pPr>
      <w:r>
        <w:t xml:space="preserve">Collected data will be analyzed using statistical methods appropriate for the nature of Mason and the experiment. The analysis will focus on identifying trends, correlations, and significant findings. All data will be stored securely in compliance with Australian privacy laws.</w:t>
      </w:r>
    </w:p>
    <w:p>
      <w:pPr>
        <w:pStyle w:val="BodyText"/>
      </w:pPr>
      <w:r>
        <w:t xml:space="preserve">8. Ethical Considerations</w:t>
      </w:r>
    </w:p>
    <w:p>
      <w:pPr>
        <w:pStyle w:val="BodyText"/>
      </w:pPr>
      <w:r>
        <w:t xml:space="preserve">This experiment adheres to the ethical guidelines set by relevant Australian authorities. If Mason is a living organism, special care will be taken to minimize stress and ensure humane treatment. Informed consent will be obtained where applicable, and all procedures will be reviewed by an ethics committee.</w:t>
      </w:r>
    </w:p>
    <w:p>
      <w:pPr>
        <w:pStyle w:val="BodyText"/>
      </w:pPr>
      <w:r>
        <w:t xml:space="preserve">9. Reporting</w:t>
      </w:r>
    </w:p>
    <w:p>
      <w:pPr>
        <w:pStyle w:val="BodyText"/>
      </w:pPr>
      <w:r>
        <w:t xml:space="preserve">A detailed report will be prepared upon completion of the experiment. The report will include:</w:t>
      </w:r>
    </w:p>
    <w:p>
      <w:pPr>
        <w:numPr>
          <w:ilvl w:val="0"/>
          <w:numId w:val="1004"/>
        </w:numPr>
        <w:pStyle w:val="Compact"/>
      </w:pPr>
      <w:r>
        <w:t xml:space="preserve">Summary of objectives and methodology.</w:t>
      </w:r>
    </w:p>
    <w:p>
      <w:pPr>
        <w:numPr>
          <w:ilvl w:val="0"/>
          <w:numId w:val="1004"/>
        </w:numPr>
        <w:pStyle w:val="Compact"/>
      </w:pPr>
      <w:r>
        <w:t xml:space="preserve">Results and data analysis.</w:t>
      </w:r>
    </w:p>
    <w:p>
      <w:pPr>
        <w:numPr>
          <w:ilvl w:val="0"/>
          <w:numId w:val="1004"/>
        </w:numPr>
        <w:pStyle w:val="Compact"/>
      </w:pPr>
      <w:r>
        <w:t xml:space="preserve">Conclusions and recommendations.</w:t>
      </w:r>
    </w:p>
    <w:p>
      <w:pPr>
        <w:numPr>
          <w:ilvl w:val="0"/>
          <w:numId w:val="1004"/>
        </w:numPr>
        <w:pStyle w:val="Compact"/>
      </w:pPr>
      <w:r>
        <w:t xml:space="preserve">Any deviations from the protocol and their justification.</w:t>
      </w:r>
    </w:p>
    <w:p>
      <w:pPr>
        <w:pStyle w:val="FirstParagraph"/>
      </w:pPr>
      <w:r>
        <w:t xml:space="preserve">This document is the property of the research team conducting the Mason experiment in Brisbane, Australia.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Brisbane, Australia</dc:title>
  <dc:creator/>
  <dc:language>en</dc:language>
  <cp:keywords/>
  <dcterms:created xsi:type="dcterms:W3CDTF">2026-10-10T04:32:08Z</dcterms:created>
  <dcterms:modified xsi:type="dcterms:W3CDTF">2026-10-10T04:32:08Z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