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Australia</w:t>
      </w:r>
      <w:r>
        <w:t xml:space="preserve"> </w:t>
      </w:r>
      <w:r>
        <w:t xml:space="preserve">Melbourne</w:t>
      </w:r>
    </w:p>
    <w:bookmarkStart w:id="36" w:name="experiment-protocol-mason"/>
    <w:p>
      <w:pPr>
        <w:pStyle w:val="Heading1"/>
      </w:pPr>
      <w:r>
        <w:t xml:space="preserve">Experiment Protocol: Mason</w:t>
      </w:r>
    </w:p>
    <w:p>
      <w:pPr>
        <w:pStyle w:val="FirstParagraph"/>
      </w:pPr>
      <w:r>
        <w:rPr>
          <w:bCs/>
          <w:b/>
        </w:rPr>
        <w:t xml:space="preserve">Project Title:</w:t>
      </w:r>
      <w:r>
        <w:t xml:space="preserve"> </w:t>
      </w:r>
      <w:r>
        <w:t xml:space="preserve">Mason Structural Integrity and Environmental Adaptation Study</w:t>
      </w:r>
    </w:p>
    <w:p>
      <w:pPr>
        <w:pStyle w:val="BodyText"/>
      </w:pPr>
      <w:r>
        <w:rPr>
          <w:bCs/>
          <w:b/>
        </w:rPr>
        <w:t xml:space="preserve">Location:</w:t>
      </w:r>
      <w:r>
        <w:t xml:space="preserve"> </w:t>
      </w:r>
      <w:r>
        <w:t xml:space="preserve">Australia Melbourne, Victoria</w:t>
      </w:r>
    </w:p>
    <w:p>
      <w:pPr>
        <w:pStyle w:val="BodyText"/>
      </w:pPr>
      <w:r>
        <w:rPr>
          <w:bCs/>
          <w:b/>
        </w:rPr>
        <w:t xml:space="preserve">Protocol Version:</w:t>
      </w:r>
      <w:r>
        <w:t xml:space="preserve"> </w:t>
      </w:r>
      <w:r>
        <w:t xml:space="preserve">1.0</w:t>
      </w:r>
    </w:p>
    <w:p>
      <w:pPr>
        <w:pStyle w:val="BodyText"/>
      </w:pPr>
      <w:r>
        <w:rPr>
          <w:bCs/>
          <w:b/>
        </w:rPr>
        <w:t xml:space="preserve">Date of Issue:</w:t>
      </w:r>
      <w:r>
        <w:t xml:space="preserve"> </w:t>
      </w:r>
      <w:r>
        <w:t xml:space="preserve">October 2023</w:t>
      </w:r>
    </w:p>
    <w:p>
      <w:pPr>
        <w:pStyle w:val="BodyText"/>
      </w:pPr>
      <w:r>
        <w:rPr>
          <w:bCs/>
          <w:b/>
        </w:rPr>
        <w:t xml:space="preserve">Principal Investigator:</w:t>
      </w:r>
      <w:r>
        <w:t xml:space="preserve"> </w:t>
      </w:r>
      <w:r>
        <w:t xml:space="preserve">Dr. Elena Rossi</w:t>
      </w:r>
    </w:p>
    <w:p>
      <w:pPr>
        <w:pStyle w:val="BodyText"/>
      </w:pPr>
      <w:r>
        <w:rPr>
          <w:bCs/>
          <w:b/>
        </w:rPr>
        <w:t xml:space="preserve">Institution:</w:t>
      </w:r>
      <w:r>
        <w:t xml:space="preserve"> </w:t>
      </w:r>
      <w:r>
        <w:t xml:space="preserve">Melbourne Institute of Advanced Materials Research</w:t>
      </w:r>
    </w:p>
    <w:bookmarkStart w:id="20" w:name="introduction-and-background"/>
    <w:p>
      <w:pPr>
        <w:pStyle w:val="Heading2"/>
      </w:pPr>
      <w:r>
        <w:t xml:space="preserve">1. Introduction and Background</w:t>
      </w:r>
    </w:p>
    <w:p>
      <w:pPr>
        <w:pStyle w:val="FirstParagraph"/>
      </w:pPr>
      <w:r>
        <w:t xml:space="preserve">This Experiment Protocol outlines the procedures for the comprehensive evaluation of "Mason," a novel composite masonry material developed for high-performance construction applications. The study is specifically designed to assess Mason's durability, thermal efficiency, and structural resilience under the unique climatic and environmental conditions of Australia Melbourne. Melbourne is known for its variable weather patterns, including hot summers, cool winters, and occasional extreme weather events, making it an ideal location for rigorous testing of building materials.</w:t>
      </w:r>
    </w:p>
    <w:p>
      <w:pPr>
        <w:pStyle w:val="BodyText"/>
      </w:pPr>
      <w:r>
        <w:t xml:space="preserve">Mason is engineered to combine traditional masonry aesthetics with advanced composite technology, aiming to reduce carbon footprint while enhancing building performance. This protocol ensures that all experimental procedures adhere to Australian standards and ethical guidelines, providing reliable data for future construction practices in Melbourne and similar climates.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compressive strength and load-bearing capacity of Mason under simulated Melbourne weather conditions.</w:t>
      </w:r>
    </w:p>
    <w:p>
      <w:pPr>
        <w:numPr>
          <w:ilvl w:val="0"/>
          <w:numId w:val="1001"/>
        </w:numPr>
        <w:pStyle w:val="Compact"/>
      </w:pPr>
      <w:r>
        <w:t xml:space="preserve">To assess Mason's thermal insulation properties and energy efficiency in residential and commercial building applications.</w:t>
      </w:r>
    </w:p>
    <w:p>
      <w:pPr>
        <w:numPr>
          <w:ilvl w:val="0"/>
          <w:numId w:val="1001"/>
        </w:numPr>
        <w:pStyle w:val="Compact"/>
      </w:pPr>
      <w:r>
        <w:t xml:space="preserve">To determine Mason's resistance to moisture, freeze-thaw cycles, and UV exposure typical of Australia Melbourne's climate.</w:t>
      </w:r>
    </w:p>
    <w:p>
      <w:pPr>
        <w:numPr>
          <w:ilvl w:val="0"/>
          <w:numId w:val="1001"/>
        </w:numPr>
        <w:pStyle w:val="Compact"/>
      </w:pPr>
      <w:r>
        <w:t xml:space="preserve">To compare Mason's performance against conventional masonry materials used in Melbourne construction projects.</w:t>
      </w:r>
    </w:p>
    <w:p>
      <w:pPr>
        <w:numPr>
          <w:ilvl w:val="0"/>
          <w:numId w:val="1001"/>
        </w:numPr>
        <w:pStyle w:val="Compact"/>
      </w:pPr>
      <w:r>
        <w:t xml:space="preserve">To provide data supporting compliance with Australian building codes and sustainability standards.</w:t>
      </w:r>
    </w:p>
    <w:bookmarkEnd w:id="21"/>
    <w:bookmarkStart w:id="22" w:name="scope-and-location"/>
    <w:p>
      <w:pPr>
        <w:pStyle w:val="Heading2"/>
      </w:pPr>
      <w:r>
        <w:t xml:space="preserve">3. Scope and Location</w:t>
      </w:r>
    </w:p>
    <w:p>
      <w:pPr>
        <w:pStyle w:val="FirstParagraph"/>
      </w:pPr>
      <w:r>
        <w:t xml:space="preserve">The experiment will be conducted at the Melbourne Institute of Advanced Materials Research testing facility, located in Australia Melbourne. The facility is equipped with environmental chambers capable of replicating Melbourne's seasonal variations, including temperature fluctuations, humidity levels, and precipitation patterns. All testing will be performed in accordance with Australian Standards (AS) and relevant Victorian building regulations.</w:t>
      </w:r>
    </w:p>
    <w:bookmarkEnd w:id="22"/>
    <w:bookmarkStart w:id="25" w:name="materials-and-equipment"/>
    <w:p>
      <w:pPr>
        <w:pStyle w:val="Heading2"/>
      </w:pPr>
      <w:r>
        <w:t xml:space="preserve">4. Materials and Equipment</w:t>
      </w:r>
    </w:p>
    <w:bookmarkStart w:id="23" w:name="materials"/>
    <w:p>
      <w:pPr>
        <w:pStyle w:val="Heading3"/>
      </w:pPr>
      <w:r>
        <w:t xml:space="preserve">4.1 Materials</w:t>
      </w:r>
    </w:p>
    <w:p>
      <w:pPr>
        <w:numPr>
          <w:ilvl w:val="0"/>
          <w:numId w:val="1002"/>
        </w:numPr>
        <w:pStyle w:val="Compact"/>
      </w:pPr>
      <w:r>
        <w:t xml:space="preserve">Mason composite masonry units (various sizes and densities)</w:t>
      </w:r>
    </w:p>
    <w:p>
      <w:pPr>
        <w:numPr>
          <w:ilvl w:val="0"/>
          <w:numId w:val="1002"/>
        </w:numPr>
        <w:pStyle w:val="Compact"/>
      </w:pPr>
      <w:r>
        <w:t xml:space="preserve">Control samples of conventional brick and concrete masonry</w:t>
      </w:r>
    </w:p>
    <w:p>
      <w:pPr>
        <w:numPr>
          <w:ilvl w:val="0"/>
          <w:numId w:val="1002"/>
        </w:numPr>
        <w:pStyle w:val="Compact"/>
      </w:pPr>
      <w:r>
        <w:t xml:space="preserve">Mortar mixes compatible with Mason and control materials</w:t>
      </w:r>
    </w:p>
    <w:p>
      <w:pPr>
        <w:numPr>
          <w:ilvl w:val="0"/>
          <w:numId w:val="1002"/>
        </w:numPr>
        <w:pStyle w:val="Compact"/>
      </w:pPr>
      <w:r>
        <w:t xml:space="preserve">Sealants and coatings for surface treatment tests</w:t>
      </w:r>
    </w:p>
    <w:bookmarkEnd w:id="23"/>
    <w:bookmarkStart w:id="24" w:name="equipment"/>
    <w:p>
      <w:pPr>
        <w:pStyle w:val="Heading3"/>
      </w:pPr>
      <w:r>
        <w:t xml:space="preserve">4.2 Equipment</w:t>
      </w:r>
    </w:p>
    <w:p>
      <w:pPr>
        <w:numPr>
          <w:ilvl w:val="0"/>
          <w:numId w:val="1003"/>
        </w:numPr>
        <w:pStyle w:val="Compact"/>
      </w:pPr>
      <w:r>
        <w:t xml:space="preserve">Universal testing machine for compressive and tensile strength tests</w:t>
      </w:r>
    </w:p>
    <w:p>
      <w:pPr>
        <w:numPr>
          <w:ilvl w:val="0"/>
          <w:numId w:val="1003"/>
        </w:numPr>
        <w:pStyle w:val="Compact"/>
      </w:pPr>
      <w:r>
        <w:t xml:space="preserve">Environmental chambers for climate simulation</w:t>
      </w:r>
    </w:p>
    <w:p>
      <w:pPr>
        <w:numPr>
          <w:ilvl w:val="0"/>
          <w:numId w:val="1003"/>
        </w:numPr>
        <w:pStyle w:val="Compact"/>
      </w:pPr>
      <w:r>
        <w:t xml:space="preserve">Thermal imaging cameras and heat flux sensors</w:t>
      </w:r>
    </w:p>
    <w:p>
      <w:pPr>
        <w:numPr>
          <w:ilvl w:val="0"/>
          <w:numId w:val="1003"/>
        </w:numPr>
        <w:pStyle w:val="Compact"/>
      </w:pPr>
      <w:r>
        <w:t xml:space="preserve">Moisture meters and humidity sensors</w:t>
      </w:r>
    </w:p>
    <w:p>
      <w:pPr>
        <w:numPr>
          <w:ilvl w:val="0"/>
          <w:numId w:val="1003"/>
        </w:numPr>
        <w:pStyle w:val="Compact"/>
      </w:pPr>
      <w:r>
        <w:t xml:space="preserve">UV exposure lamps and weathering cabinets</w:t>
      </w:r>
    </w:p>
    <w:p>
      <w:pPr>
        <w:numPr>
          <w:ilvl w:val="0"/>
          <w:numId w:val="1003"/>
        </w:numPr>
        <w:pStyle w:val="Compact"/>
      </w:pPr>
      <w:r>
        <w:t xml:space="preserve">Data logging systems for continuous monitoring</w:t>
      </w:r>
    </w:p>
    <w:bookmarkEnd w:id="24"/>
    <w:bookmarkEnd w:id="25"/>
    <w:bookmarkStart w:id="31" w:name="experimental-procedures"/>
    <w:p>
      <w:pPr>
        <w:pStyle w:val="Heading2"/>
      </w:pPr>
      <w:r>
        <w:t xml:space="preserve">5. Experimental Procedures</w:t>
      </w:r>
    </w:p>
    <w:bookmarkStart w:id="26" w:name="sample-preparation"/>
    <w:p>
      <w:pPr>
        <w:pStyle w:val="Heading3"/>
      </w:pPr>
      <w:r>
        <w:t xml:space="preserve">5.1 Sample Preparation</w:t>
      </w:r>
    </w:p>
    <w:p>
      <w:pPr>
        <w:pStyle w:val="FirstParagraph"/>
      </w:pPr>
      <w:r>
        <w:t xml:space="preserve">Mason units and control samples will be prepared according to manufacturer specifications and Australian Standards. Samples will be cured under controlled conditions for 28 days before testing. Each sample will be labeled and documented for traceability.</w:t>
      </w:r>
    </w:p>
    <w:bookmarkEnd w:id="26"/>
    <w:bookmarkStart w:id="27" w:name="mechanical-testing"/>
    <w:p>
      <w:pPr>
        <w:pStyle w:val="Heading3"/>
      </w:pPr>
      <w:r>
        <w:t xml:space="preserve">5.2 Mechanical Testing</w:t>
      </w:r>
    </w:p>
    <w:p>
      <w:pPr>
        <w:pStyle w:val="FirstParagraph"/>
      </w:pPr>
      <w:r>
        <w:t xml:space="preserve">Compressive strength tests will be conducted using a universal testing machine at a loading rate of 0.5 MPa/s. At least 10 samples per material type will be tested to ensure statistical reliability. Results will be compared against AS 3700 standards for masonry construction.</w:t>
      </w:r>
    </w:p>
    <w:bookmarkEnd w:id="27"/>
    <w:bookmarkStart w:id="28" w:name="environmental-exposure-testing"/>
    <w:p>
      <w:pPr>
        <w:pStyle w:val="Heading3"/>
      </w:pPr>
      <w:r>
        <w:t xml:space="preserve">5.3 Environmental Exposure Testing</w:t>
      </w:r>
    </w:p>
    <w:p>
      <w:pPr>
        <w:pStyle w:val="FirstParagraph"/>
      </w:pPr>
      <w:r>
        <w:t xml:space="preserve">Samples will be placed in environmental chambers simulating Melbourne's seasonal conditions:</w:t>
      </w:r>
    </w:p>
    <w:p>
      <w:pPr>
        <w:numPr>
          <w:ilvl w:val="0"/>
          <w:numId w:val="1004"/>
        </w:numPr>
        <w:pStyle w:val="Compact"/>
      </w:pPr>
      <w:r>
        <w:t xml:space="preserve">Summer: 35°C, 40% humidity, high UV exposure</w:t>
      </w:r>
    </w:p>
    <w:p>
      <w:pPr>
        <w:numPr>
          <w:ilvl w:val="0"/>
          <w:numId w:val="1004"/>
        </w:numPr>
        <w:pStyle w:val="Compact"/>
      </w:pPr>
      <w:r>
        <w:t xml:space="preserve">Winter: 5°C, 80% humidity, freeze-thaw cycles</w:t>
      </w:r>
    </w:p>
    <w:p>
      <w:pPr>
        <w:numPr>
          <w:ilvl w:val="0"/>
          <w:numId w:val="1004"/>
        </w:numPr>
        <w:pStyle w:val="Compact"/>
      </w:pPr>
      <w:r>
        <w:t xml:space="preserve">Spring/Autumn: 15-25°C, variable humidity and rainfall</w:t>
      </w:r>
    </w:p>
    <w:p>
      <w:pPr>
        <w:pStyle w:val="FirstParagraph"/>
      </w:pPr>
      <w:r>
        <w:t xml:space="preserve">Exposure will last for 12 months, with monthly assessments of physical and mechanical properties.</w:t>
      </w:r>
    </w:p>
    <w:bookmarkEnd w:id="28"/>
    <w:bookmarkStart w:id="29" w:name="thermal-performance-testing"/>
    <w:p>
      <w:pPr>
        <w:pStyle w:val="Heading3"/>
      </w:pPr>
      <w:r>
        <w:t xml:space="preserve">5.4 Thermal Performance Testing</w:t>
      </w:r>
    </w:p>
    <w:p>
      <w:pPr>
        <w:pStyle w:val="FirstParagraph"/>
      </w:pPr>
      <w:r>
        <w:t xml:space="preserve">Thermal conductivity and insulation properties will be measured using heat flux sensors and thermal imaging. Tests will simulate typical Melbourne building orientations and insulation configurations.</w:t>
      </w:r>
    </w:p>
    <w:bookmarkEnd w:id="29"/>
    <w:bookmarkStart w:id="30" w:name="moisture-and-durability-testing"/>
    <w:p>
      <w:pPr>
        <w:pStyle w:val="Heading3"/>
      </w:pPr>
      <w:r>
        <w:t xml:space="preserve">5.5 Moisture and Durability Testing</w:t>
      </w:r>
    </w:p>
    <w:p>
      <w:pPr>
        <w:pStyle w:val="FirstParagraph"/>
      </w:pPr>
      <w:r>
        <w:t xml:space="preserve">Samples will be subjected to accelerated moisture absorption and drying cycles. Resistance to efflorescence, cracking, and surface degradation will be evaluated visually and quantitatively.</w:t>
      </w:r>
    </w:p>
    <w:bookmarkEnd w:id="30"/>
    <w:bookmarkEnd w:id="31"/>
    <w:bookmarkStart w:id="32" w:name="data-collection-and-analysis"/>
    <w:p>
      <w:pPr>
        <w:pStyle w:val="Heading2"/>
      </w:pPr>
      <w:r>
        <w:t xml:space="preserve">6. Data Collection and Analysis</w:t>
      </w:r>
    </w:p>
    <w:p>
      <w:pPr>
        <w:pStyle w:val="FirstParagraph"/>
      </w:pPr>
      <w:r>
        <w:t xml:space="preserve">All data will be recorded digitally using calibrated instruments and stored in a secure database. Statistical analysis will be performed using appropriate software to determine significance and variability. Results will be compared against control materials and industry benchmarks.</w:t>
      </w:r>
    </w:p>
    <w:bookmarkEnd w:id="32"/>
    <w:bookmarkStart w:id="33" w:name="safety-and-ethical-considerations"/>
    <w:p>
      <w:pPr>
        <w:pStyle w:val="Heading2"/>
      </w:pPr>
      <w:r>
        <w:t xml:space="preserve">7. Safety and Ethical Considerations</w:t>
      </w:r>
    </w:p>
    <w:p>
      <w:pPr>
        <w:pStyle w:val="FirstParagraph"/>
      </w:pPr>
      <w:r>
        <w:t xml:space="preserve">All personnel involved in the experiment must adhere to workplace health and safety regulations. Personal protective equipment (PPE) is mandatory in testing areas. Ethical considerations include transparent reporting of results and responsible use of resources.</w:t>
      </w:r>
    </w:p>
    <w:bookmarkEnd w:id="33"/>
    <w:bookmarkStart w:id="34" w:name="timeline"/>
    <w:p>
      <w:pPr>
        <w:pStyle w:val="Heading2"/>
      </w:pPr>
      <w:r>
        <w:t xml:space="preserve">8. Timeline</w:t>
      </w:r>
    </w:p>
    <w:p>
      <w:pPr>
        <w:numPr>
          <w:ilvl w:val="0"/>
          <w:numId w:val="1005"/>
        </w:numPr>
        <w:pStyle w:val="Compact"/>
      </w:pPr>
      <w:r>
        <w:t xml:space="preserve">Month 1-2: Sample preparation and baseline testing</w:t>
      </w:r>
    </w:p>
    <w:p>
      <w:pPr>
        <w:numPr>
          <w:ilvl w:val="0"/>
          <w:numId w:val="1005"/>
        </w:numPr>
        <w:pStyle w:val="Compact"/>
      </w:pPr>
      <w:r>
        <w:t xml:space="preserve">Month 3-14: Environmental exposure and periodic assessments</w:t>
      </w:r>
    </w:p>
    <w:p>
      <w:pPr>
        <w:numPr>
          <w:ilvl w:val="0"/>
          <w:numId w:val="1005"/>
        </w:numPr>
        <w:pStyle w:val="Compact"/>
      </w:pPr>
      <w:r>
        <w:t xml:space="preserve">Month 15-16: Final testing and data analysis</w:t>
      </w:r>
    </w:p>
    <w:p>
      <w:pPr>
        <w:numPr>
          <w:ilvl w:val="0"/>
          <w:numId w:val="1005"/>
        </w:numPr>
        <w:pStyle w:val="Compact"/>
      </w:pPr>
      <w:r>
        <w:t xml:space="preserve">Month 17: Reporting and dissemination of results</w:t>
      </w:r>
    </w:p>
    <w:bookmarkEnd w:id="34"/>
    <w:bookmarkStart w:id="35" w:name="expected-outcomes"/>
    <w:p>
      <w:pPr>
        <w:pStyle w:val="Heading2"/>
      </w:pPr>
      <w:r>
        <w:t xml:space="preserve">9. Expected Outcomes</w:t>
      </w:r>
    </w:p>
    <w:p>
      <w:pPr>
        <w:pStyle w:val="FirstParagraph"/>
      </w:pPr>
      <w:r>
        <w:t xml:space="preserve">This experiment aims to demonstrate that Mason offers superior or comparable performance to traditional masonry materials in Australia Melbourne's climate, with potential benefits in sustainability, energy efficiency, and longevity. Findings will support the adoption of Mason in future construction projects across Melbourne and similar regions.</w:t>
      </w:r>
    </w:p>
    <w:bookmarkEnd w:id="35"/>
    <w:p>
      <w:pPr>
        <w:pStyle w:val="BodyText"/>
      </w:pPr>
      <w:r>
        <w:rPr>
          <w:bCs/>
          <w:b/>
        </w:rPr>
        <w:t xml:space="preserve">Approved by:</w:t>
      </w:r>
    </w:p>
    <w:p>
      <w:pPr>
        <w:pStyle w:val="BodyText"/>
      </w:pPr>
      <w:r>
        <w:t xml:space="preserve">Dr. Elena Rossi, Principal Investigator</w:t>
      </w:r>
    </w:p>
    <w:p>
      <w:pPr>
        <w:pStyle w:val="BodyText"/>
      </w:pPr>
      <w:r>
        <w:rPr>
          <w:bCs/>
          <w:b/>
        </w:rPr>
        <w:t xml:space="preserve">Date:</w:t>
      </w:r>
      <w:r>
        <w:t xml:space="preserve"> </w:t>
      </w:r>
      <w:r>
        <w:t xml:space="preserve">____________________</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Australia Melbourne</dc:title>
  <dc:creator/>
  <dc:language>en</dc:language>
  <cp:keywords/>
  <dcterms:created xsi:type="dcterms:W3CDTF">2026-10-10T06:14:34Z</dcterms:created>
  <dcterms:modified xsi:type="dcterms:W3CDTF">2026-10-10T06:14:34Z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