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Egypt</w:t>
      </w:r>
      <w:r>
        <w:t xml:space="preserve"> </w:t>
      </w:r>
      <w:r>
        <w:t xml:space="preserve">Alexandria</w:t>
      </w:r>
    </w:p>
    <w:bookmarkStart w:id="30" w:name="experiment-protocol-mason"/>
    <w:p>
      <w:pPr>
        <w:pStyle w:val="Heading1"/>
      </w:pPr>
      <w:r>
        <w:t xml:space="preserve">Experiment Protocol: Mason</w:t>
      </w:r>
    </w:p>
    <w:p>
      <w:pPr>
        <w:pStyle w:val="FirstParagraph"/>
      </w:pPr>
      <w:r>
        <w:rPr>
          <w:bCs/>
          <w:b/>
        </w:rPr>
        <w:t xml:space="preserve">Project Title:</w:t>
      </w:r>
      <w:r>
        <w:t xml:space="preserve"> </w:t>
      </w:r>
      <w:r>
        <w:t xml:space="preserve">Mason Structural Integrity and Thermal Performance Assessment</w:t>
      </w:r>
    </w:p>
    <w:p>
      <w:pPr>
        <w:pStyle w:val="BodyText"/>
      </w:pPr>
      <w:r>
        <w:rPr>
          <w:bCs/>
          <w:b/>
        </w:rPr>
        <w:t xml:space="preserve">Location:</w:t>
      </w:r>
      <w:r>
        <w:t xml:space="preserve"> </w:t>
      </w:r>
      <w:r>
        <w:t xml:space="preserve">Egypt Alexandria, Coastal Research Zone</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Principal Investigator:</w:t>
      </w:r>
      <w:r>
        <w:t xml:space="preserve"> </w:t>
      </w:r>
      <w:r>
        <w:t xml:space="preserve">[Name Redacted]</w:t>
      </w:r>
    </w:p>
    <w:bookmarkStart w:id="20" w:name="introduction-and-objective"/>
    <w:p>
      <w:pPr>
        <w:pStyle w:val="Heading2"/>
      </w:pPr>
      <w:r>
        <w:t xml:space="preserve">1. Introduction and Objective</w:t>
      </w:r>
    </w:p>
    <w:p>
      <w:pPr>
        <w:pStyle w:val="FirstParagraph"/>
      </w:pPr>
      <w:r>
        <w:t xml:space="preserve">This document outlines the comprehensive Experiment Protocol for the "Mason" project. The Mason project is designed to evaluate the durability, thermal efficiency, and structural resilience of advanced masonry composites under specific environmental conditions. The primary objective is to determine the viability of Mason materials for high-density urban construction in coastal Mediterranean climates.</w:t>
      </w:r>
    </w:p>
    <w:p>
      <w:pPr>
        <w:pStyle w:val="BodyText"/>
      </w:pPr>
      <w:r>
        <w:t xml:space="preserve">The selection of Egypt Alexandria as the testing site is critical. Alexandria presents a unique set of environmental challenges, including high humidity, saline aerosol exposure from the Mediterranean Sea, and significant diurnal temperature fluctuations. The Mason materials must withstand these aggressive conditions without degradation. This protocol ensures that all testing procedures are standardized, reproducible, and compliant with international safety standards.</w:t>
      </w:r>
    </w:p>
    <w:bookmarkEnd w:id="20"/>
    <w:bookmarkStart w:id="21" w:name="site-description-egypt-alexandria"/>
    <w:p>
      <w:pPr>
        <w:pStyle w:val="Heading2"/>
      </w:pPr>
      <w:r>
        <w:t xml:space="preserve">2. Site Description: Egypt Alexandria</w:t>
      </w:r>
    </w:p>
    <w:p>
      <w:pPr>
        <w:pStyle w:val="FirstParagraph"/>
      </w:pPr>
      <w:r>
        <w:t xml:space="preserve">The experimental site is located in the industrial district of Egypt Alexandria, approximately 5 kilometers from the coastline. This proximity ensures that the Mason test structures are exposed to natural saline mist and high humidity levels characteristic of the region.</w:t>
      </w:r>
    </w:p>
    <w:p>
      <w:pPr>
        <w:pStyle w:val="BodyText"/>
      </w:pPr>
      <w:r>
        <w:t xml:space="preserve">Key environmental factors in Egypt Alexandria that this protocol addresses include:</w:t>
      </w:r>
    </w:p>
    <w:p>
      <w:pPr>
        <w:numPr>
          <w:ilvl w:val="0"/>
          <w:numId w:val="1001"/>
        </w:numPr>
        <w:pStyle w:val="Compact"/>
      </w:pPr>
      <w:r>
        <w:rPr>
          <w:bCs/>
          <w:b/>
        </w:rPr>
        <w:t xml:space="preserve">Salinity:</w:t>
      </w:r>
      <w:r>
        <w:t xml:space="preserve"> </w:t>
      </w:r>
      <w:r>
        <w:t xml:space="preserve">High chloride ion concentration in the air, which can accelerate corrosion in reinforced masonry.</w:t>
      </w:r>
    </w:p>
    <w:p>
      <w:pPr>
        <w:numPr>
          <w:ilvl w:val="0"/>
          <w:numId w:val="1001"/>
        </w:numPr>
        <w:pStyle w:val="Compact"/>
      </w:pPr>
      <w:r>
        <w:rPr>
          <w:bCs/>
          <w:b/>
        </w:rPr>
        <w:t xml:space="preserve">Humidity:</w:t>
      </w:r>
      <w:r>
        <w:t xml:space="preserve"> </w:t>
      </w:r>
      <w:r>
        <w:t xml:space="preserve">Average relative humidity often exceeds 70%, affecting moisture absorption rates of Mason units.</w:t>
      </w:r>
    </w:p>
    <w:p>
      <w:pPr>
        <w:numPr>
          <w:ilvl w:val="0"/>
          <w:numId w:val="1001"/>
        </w:numPr>
        <w:pStyle w:val="Compact"/>
      </w:pPr>
      <w:r>
        <w:rPr>
          <w:bCs/>
          <w:b/>
        </w:rPr>
        <w:t xml:space="preserve">Temperature:</w:t>
      </w:r>
      <w:r>
        <w:t xml:space="preserve"> </w:t>
      </w:r>
      <w:r>
        <w:t xml:space="preserve">Summer temperatures can exceed 35°C, while winter nights can drop significantly, testing the thermal expansion properties of the Mason composite.</w:t>
      </w:r>
    </w:p>
    <w:bookmarkEnd w:id="21"/>
    <w:bookmarkStart w:id="22" w:name="materials-and-equipment"/>
    <w:p>
      <w:pPr>
        <w:pStyle w:val="Heading2"/>
      </w:pPr>
      <w:r>
        <w:t xml:space="preserve">3. Materials and Equipment</w:t>
      </w:r>
    </w:p>
    <w:p>
      <w:pPr>
        <w:pStyle w:val="FirstParagraph"/>
      </w:pPr>
      <w:r>
        <w:t xml:space="preserve">The following materials and equipment are required for the execution of the Mason experiment protocol: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Mason Composite Units</w:t>
            </w:r>
          </w:p>
        </w:tc>
        <w:tc>
          <w:tcPr/>
          <w:p>
            <w:pPr>
              <w:pStyle w:val="Compact"/>
              <w:jc w:val="left"/>
            </w:pPr>
            <w:r>
              <w:t xml:space="preserve">Standardized 200mm x 100mm x 100mm blocks</w:t>
            </w:r>
          </w:p>
        </w:tc>
        <w:tc>
          <w:tcPr/>
          <w:p>
            <w:pPr>
              <w:pStyle w:val="Compact"/>
              <w:jc w:val="left"/>
            </w:pPr>
            <w:r>
              <w:t xml:space="preserve">500 units</w:t>
            </w:r>
          </w:p>
        </w:tc>
      </w:tr>
      <w:tr>
        <w:tc>
          <w:tcPr/>
          <w:p>
            <w:pPr>
              <w:pStyle w:val="Compact"/>
              <w:jc w:val="left"/>
            </w:pPr>
            <w:r>
              <w:t xml:space="preserve">Mortar Mix</w:t>
            </w:r>
          </w:p>
        </w:tc>
        <w:tc>
          <w:tcPr/>
          <w:p>
            <w:pPr>
              <w:pStyle w:val="Compact"/>
              <w:jc w:val="left"/>
            </w:pPr>
            <w:r>
              <w:t xml:space="preserve">Sulfate-resistant cement blend</w:t>
            </w:r>
          </w:p>
        </w:tc>
        <w:tc>
          <w:tcPr/>
          <w:p>
            <w:pPr>
              <w:pStyle w:val="Compact"/>
              <w:jc w:val="left"/>
            </w:pPr>
            <w:r>
              <w:t xml:space="preserve">200 kg</w:t>
            </w:r>
          </w:p>
        </w:tc>
      </w:tr>
      <w:tr>
        <w:tc>
          <w:tcPr/>
          <w:p>
            <w:pPr>
              <w:pStyle w:val="Compact"/>
              <w:jc w:val="left"/>
            </w:pPr>
            <w:r>
              <w:t xml:space="preserve">Thermal Sensors</w:t>
            </w:r>
          </w:p>
        </w:tc>
        <w:tc>
          <w:tcPr/>
          <w:p>
            <w:pPr>
              <w:pStyle w:val="Compact"/>
              <w:jc w:val="left"/>
            </w:pPr>
            <w:r>
              <w:t xml:space="preserve">High-precision thermocouples</w:t>
            </w:r>
          </w:p>
        </w:tc>
        <w:tc>
          <w:tcPr/>
          <w:p>
            <w:pPr>
              <w:pStyle w:val="Compact"/>
              <w:jc w:val="left"/>
            </w:pPr>
            <w:r>
              <w:t xml:space="preserve">50 units</w:t>
            </w:r>
          </w:p>
        </w:tc>
      </w:tr>
      <w:tr>
        <w:tc>
          <w:tcPr/>
          <w:p>
            <w:pPr>
              <w:pStyle w:val="Compact"/>
              <w:jc w:val="left"/>
            </w:pPr>
            <w:r>
              <w:t xml:space="preserve">Moisture Meters</w:t>
            </w:r>
          </w:p>
        </w:tc>
        <w:tc>
          <w:tcPr/>
          <w:p>
            <w:pPr>
              <w:pStyle w:val="Compact"/>
              <w:jc w:val="left"/>
            </w:pPr>
            <w:r>
              <w:t xml:space="preserve">Non-destructive testing probes</w:t>
            </w:r>
          </w:p>
        </w:tc>
        <w:tc>
          <w:tcPr/>
          <w:p>
            <w:pPr>
              <w:pStyle w:val="Compact"/>
              <w:jc w:val="left"/>
            </w:pPr>
            <w:r>
              <w:t xml:space="preserve">10 units</w:t>
            </w:r>
          </w:p>
        </w:tc>
      </w:tr>
      <w:tr>
        <w:tc>
          <w:tcPr/>
          <w:p>
            <w:pPr>
              <w:pStyle w:val="Compact"/>
              <w:jc w:val="left"/>
            </w:pPr>
            <w:r>
              <w:t xml:space="preserve">Structural Load Frames</w:t>
            </w:r>
          </w:p>
        </w:tc>
        <w:tc>
          <w:tcPr/>
          <w:p>
            <w:pPr>
              <w:pStyle w:val="Compact"/>
              <w:jc w:val="left"/>
            </w:pPr>
            <w:r>
              <w:t xml:space="preserve">Hydraulic compression testing machines</w:t>
            </w:r>
          </w:p>
        </w:tc>
        <w:tc>
          <w:tcPr/>
          <w:p>
            <w:pPr>
              <w:pStyle w:val="Compact"/>
              <w:jc w:val="left"/>
            </w:pPr>
            <w:r>
              <w:t xml:space="preserve">2 units</w:t>
            </w:r>
          </w:p>
        </w:tc>
      </w:tr>
    </w:tbl>
    <w:bookmarkEnd w:id="22"/>
    <w:bookmarkStart w:id="26" w:name="experimental-methodology"/>
    <w:p>
      <w:pPr>
        <w:pStyle w:val="Heading2"/>
      </w:pPr>
      <w:r>
        <w:t xml:space="preserve">4. Experimental Methodology</w:t>
      </w:r>
    </w:p>
    <w:bookmarkStart w:id="23" w:name="phase-i-construction-of-test-walls"/>
    <w:p>
      <w:pPr>
        <w:pStyle w:val="Heading3"/>
      </w:pPr>
      <w:r>
        <w:t xml:space="preserve">4.1 Phase I: Construction of Test Walls</w:t>
      </w:r>
    </w:p>
    <w:p>
      <w:pPr>
        <w:pStyle w:val="FirstParagraph"/>
      </w:pPr>
      <w:r>
        <w:t xml:space="preserve">Three distinct Mason test walls will be constructed at the Egypt Alexandria site. Each wall will measure 3 meters in height and 2 meters in width.</w:t>
      </w:r>
    </w:p>
    <w:p>
      <w:pPr>
        <w:numPr>
          <w:ilvl w:val="0"/>
          <w:numId w:val="1002"/>
        </w:numPr>
        <w:pStyle w:val="Compact"/>
      </w:pPr>
      <w:r>
        <w:rPr>
          <w:bCs/>
          <w:b/>
        </w:rPr>
        <w:t xml:space="preserve">Wall A:</w:t>
      </w:r>
      <w:r>
        <w:t xml:space="preserve"> </w:t>
      </w:r>
      <w:r>
        <w:t xml:space="preserve">Standard Mason composition with conventional mortar.</w:t>
      </w:r>
    </w:p>
    <w:p>
      <w:pPr>
        <w:numPr>
          <w:ilvl w:val="0"/>
          <w:numId w:val="1002"/>
        </w:numPr>
        <w:pStyle w:val="Compact"/>
      </w:pPr>
      <w:r>
        <w:rPr>
          <w:bCs/>
          <w:b/>
        </w:rPr>
        <w:t xml:space="preserve">Wall B:</w:t>
      </w:r>
      <w:r>
        <w:t xml:space="preserve"> </w:t>
      </w:r>
      <w:r>
        <w:t xml:space="preserve">Mason composition with polymer-modified mortar.</w:t>
      </w:r>
    </w:p>
    <w:p>
      <w:pPr>
        <w:numPr>
          <w:ilvl w:val="0"/>
          <w:numId w:val="1002"/>
        </w:numPr>
        <w:pStyle w:val="Compact"/>
      </w:pPr>
      <w:r>
        <w:rPr>
          <w:bCs/>
          <w:b/>
        </w:rPr>
        <w:t xml:space="preserve">Wall C:</w:t>
      </w:r>
      <w:r>
        <w:t xml:space="preserve"> </w:t>
      </w:r>
      <w:r>
        <w:t xml:space="preserve">Mason composition with integrated insulation layer.</w:t>
      </w:r>
    </w:p>
    <w:p>
      <w:pPr>
        <w:pStyle w:val="FirstParagraph"/>
      </w:pPr>
      <w:r>
        <w:t xml:space="preserve">Construction must adhere to strict bonding patterns to ensure structural integrity. All joints must be fully filled to prevent water ingress, which is a primary concern in the humid climate of Egypt Alexandria.</w:t>
      </w:r>
    </w:p>
    <w:bookmarkEnd w:id="23"/>
    <w:bookmarkStart w:id="24" w:name="phase-ii-environmental-exposure"/>
    <w:p>
      <w:pPr>
        <w:pStyle w:val="Heading3"/>
      </w:pPr>
      <w:r>
        <w:t xml:space="preserve">4.2 Phase II: Environmental Exposure</w:t>
      </w:r>
    </w:p>
    <w:p>
      <w:pPr>
        <w:pStyle w:val="FirstParagraph"/>
      </w:pPr>
      <w:r>
        <w:t xml:space="preserve">The Mason walls will be exposed to the natural environment of Egypt Alexandria for a period of 12 months. During this phase, no artificial protection will be applied. The goal is to simulate real-world aging conditions.</w:t>
      </w:r>
    </w:p>
    <w:p>
      <w:pPr>
        <w:pStyle w:val="BodyText"/>
      </w:pPr>
      <w:r>
        <w:t xml:space="preserve">Data loggers will be installed to record temperature, humidity, and wind speed every 15 minutes. This data will be correlated with the physical performance of the Mason materials.</w:t>
      </w:r>
    </w:p>
    <w:bookmarkEnd w:id="24"/>
    <w:bookmarkStart w:id="25" w:name="phase-iii-periodic-assessment"/>
    <w:p>
      <w:pPr>
        <w:pStyle w:val="Heading3"/>
      </w:pPr>
      <w:r>
        <w:t xml:space="preserve">4.3 Phase III: Periodic Assessment</w:t>
      </w:r>
    </w:p>
    <w:p>
      <w:pPr>
        <w:pStyle w:val="FirstParagraph"/>
      </w:pPr>
      <w:r>
        <w:t xml:space="preserve">Assessments will be conducted at 3-month intervals. The following tests will be performed:</w:t>
      </w:r>
    </w:p>
    <w:p>
      <w:pPr>
        <w:numPr>
          <w:ilvl w:val="0"/>
          <w:numId w:val="1003"/>
        </w:numPr>
        <w:pStyle w:val="Compact"/>
      </w:pPr>
      <w:r>
        <w:rPr>
          <w:bCs/>
          <w:b/>
        </w:rPr>
        <w:t xml:space="preserve">Visual Inspection:</w:t>
      </w:r>
      <w:r>
        <w:t xml:space="preserve"> </w:t>
      </w:r>
      <w:r>
        <w:t xml:space="preserve">Checking for efflorescence, cracking, or spalling.</w:t>
      </w:r>
    </w:p>
    <w:p>
      <w:pPr>
        <w:numPr>
          <w:ilvl w:val="0"/>
          <w:numId w:val="1003"/>
        </w:numPr>
        <w:pStyle w:val="Compact"/>
      </w:pPr>
      <w:r>
        <w:rPr>
          <w:bCs/>
          <w:b/>
        </w:rPr>
        <w:t xml:space="preserve">Moisture Content Analysis:</w:t>
      </w:r>
      <w:r>
        <w:t xml:space="preserve"> </w:t>
      </w:r>
      <w:r>
        <w:t xml:space="preserve">Using non-destructive probes to measure water absorption.</w:t>
      </w:r>
    </w:p>
    <w:p>
      <w:pPr>
        <w:numPr>
          <w:ilvl w:val="0"/>
          <w:numId w:val="1003"/>
        </w:numPr>
        <w:pStyle w:val="Compact"/>
      </w:pPr>
      <w:r>
        <w:rPr>
          <w:bCs/>
          <w:b/>
        </w:rPr>
        <w:t xml:space="preserve">Thermal Imaging:</w:t>
      </w:r>
      <w:r>
        <w:t xml:space="preserve"> </w:t>
      </w:r>
      <w:r>
        <w:t xml:space="preserve">Identifying thermal bridges or insulation failures.</w:t>
      </w:r>
    </w:p>
    <w:p>
      <w:pPr>
        <w:numPr>
          <w:ilvl w:val="0"/>
          <w:numId w:val="1003"/>
        </w:numPr>
        <w:pStyle w:val="Compact"/>
      </w:pPr>
      <w:r>
        <w:rPr>
          <w:bCs/>
          <w:b/>
        </w:rPr>
        <w:t xml:space="preserve">Surface Hardness:</w:t>
      </w:r>
      <w:r>
        <w:t xml:space="preserve"> </w:t>
      </w:r>
      <w:r>
        <w:t xml:space="preserve">Using a Schmidt hammer to assess surface degradation.</w:t>
      </w:r>
    </w:p>
    <w:bookmarkEnd w:id="25"/>
    <w:bookmarkEnd w:id="26"/>
    <w:bookmarkStart w:id="27" w:name="safety-and-risk-management"/>
    <w:p>
      <w:pPr>
        <w:pStyle w:val="Heading2"/>
      </w:pPr>
      <w:r>
        <w:t xml:space="preserve">5. Safety and Risk Management</w:t>
      </w:r>
    </w:p>
    <w:p>
      <w:pPr>
        <w:pStyle w:val="FirstParagraph"/>
      </w:pPr>
      <w:r>
        <w:t xml:space="preserve">Safety is paramount during the execution of this Experiment Protocol. The following measures must be strictly observed:</w:t>
      </w:r>
    </w:p>
    <w:p>
      <w:pPr>
        <w:numPr>
          <w:ilvl w:val="0"/>
          <w:numId w:val="1004"/>
        </w:numPr>
        <w:pStyle w:val="Compact"/>
      </w:pPr>
      <w:r>
        <w:t xml:space="preserve">All personnel must wear appropriate Personal Protective Equipment (PPE), including hard hats, safety glasses, and steel-toed boots.</w:t>
      </w:r>
    </w:p>
    <w:p>
      <w:pPr>
        <w:numPr>
          <w:ilvl w:val="0"/>
          <w:numId w:val="1004"/>
        </w:numPr>
        <w:pStyle w:val="Compact"/>
      </w:pPr>
      <w:r>
        <w:t xml:space="preserve">Given the location in Egypt Alexandria, heat stress management protocols must be followed during summer months. Regular hydration breaks are mandatory.</w:t>
      </w:r>
    </w:p>
    <w:p>
      <w:pPr>
        <w:numPr>
          <w:ilvl w:val="0"/>
          <w:numId w:val="1004"/>
        </w:numPr>
        <w:pStyle w:val="Compact"/>
      </w:pPr>
      <w:r>
        <w:t xml:space="preserve">Structural stability of the Mason test walls must be monitored daily. Any signs of instability require immediate evacuation of the testing zone.</w:t>
      </w:r>
    </w:p>
    <w:p>
      <w:pPr>
        <w:numPr>
          <w:ilvl w:val="0"/>
          <w:numId w:val="1004"/>
        </w:numPr>
        <w:pStyle w:val="Compact"/>
      </w:pPr>
      <w:r>
        <w:t xml:space="preserve">Chemical handling procedures must be followed when mixing mortar and applying protective coatings.</w:t>
      </w:r>
    </w:p>
    <w:bookmarkEnd w:id="27"/>
    <w:bookmarkStart w:id="28" w:name="data-analysis-and-reporting"/>
    <w:p>
      <w:pPr>
        <w:pStyle w:val="Heading2"/>
      </w:pPr>
      <w:r>
        <w:t xml:space="preserve">6. Data Analysis and Reporting</w:t>
      </w:r>
    </w:p>
    <w:p>
      <w:pPr>
        <w:pStyle w:val="FirstParagraph"/>
      </w:pPr>
      <w:r>
        <w:t xml:space="preserve">All data collected during the Mason experiment will be stored in a centralized database. Statistical analysis will be performed to compare the performance of the three wall types. The final report will include:</w:t>
      </w:r>
    </w:p>
    <w:p>
      <w:pPr>
        <w:numPr>
          <w:ilvl w:val="0"/>
          <w:numId w:val="1005"/>
        </w:numPr>
        <w:pStyle w:val="Compact"/>
      </w:pPr>
      <w:r>
        <w:t xml:space="preserve">Summary of environmental conditions in Egypt Alexandria during the testing period.</w:t>
      </w:r>
    </w:p>
    <w:p>
      <w:pPr>
        <w:numPr>
          <w:ilvl w:val="0"/>
          <w:numId w:val="1005"/>
        </w:numPr>
        <w:pStyle w:val="Compact"/>
      </w:pPr>
      <w:r>
        <w:t xml:space="preserve">Detailed analysis of Mason material degradation rates.</w:t>
      </w:r>
    </w:p>
    <w:p>
      <w:pPr>
        <w:numPr>
          <w:ilvl w:val="0"/>
          <w:numId w:val="1005"/>
        </w:numPr>
        <w:pStyle w:val="Compact"/>
      </w:pPr>
      <w:r>
        <w:t xml:space="preserve">Recommendations for the use of Mason materials in coastal construction projects.</w:t>
      </w:r>
    </w:p>
    <w:bookmarkEnd w:id="28"/>
    <w:bookmarkStart w:id="29" w:name="conclusion"/>
    <w:p>
      <w:pPr>
        <w:pStyle w:val="Heading2"/>
      </w:pPr>
      <w:r>
        <w:t xml:space="preserve">7. Conclusion</w:t>
      </w:r>
    </w:p>
    <w:p>
      <w:pPr>
        <w:pStyle w:val="FirstParagraph"/>
      </w:pPr>
      <w:r>
        <w:t xml:space="preserve">This Experiment Protocol provides a rigorous framework for testing the Mason materials in the challenging environment of Egypt Alexandria. By adhering to these procedures, we aim to generate reliable data that will contribute to the advancement of sustainable construction practices in the region. The success of the Mason project depends on the strict implementation of this protocol and the accurate recording of all experimental data.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Egypt Alexandria</dc:title>
  <dc:creator/>
  <dc:language>en</dc:language>
  <cp:keywords/>
  <dcterms:created xsi:type="dcterms:W3CDTF">2026-10-10T02:31:47Z</dcterms:created>
  <dcterms:modified xsi:type="dcterms:W3CDTF">2026-10-10T02:31:47Z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