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Dubai,</w:t>
      </w:r>
      <w:r>
        <w:t xml:space="preserve"> </w:t>
      </w:r>
      <w:r>
        <w:t xml:space="preserve">UAE</w:t>
      </w:r>
    </w:p>
    <w:bookmarkStart w:id="36" w:name="experiment-protocol-mason"/>
    <w:p>
      <w:pPr>
        <w:pStyle w:val="Heading1"/>
      </w:pPr>
      <w:r>
        <w:t xml:space="preserve">Experiment Protocol: Mason</w:t>
      </w:r>
    </w:p>
    <w:p>
      <w:pPr>
        <w:pStyle w:val="FirstParagraph"/>
      </w:pPr>
      <w:r>
        <w:rPr>
          <w:bCs/>
          <w:b/>
        </w:rPr>
        <w:t xml:space="preserve">Project Title:</w:t>
      </w:r>
      <w:r>
        <w:t xml:space="preserve"> </w:t>
      </w:r>
      <w:r>
        <w:t xml:space="preserve">Mason: Advanced Masonry Material Performance Evaluation</w:t>
      </w:r>
    </w:p>
    <w:p>
      <w:pPr>
        <w:pStyle w:val="BodyText"/>
      </w:pPr>
      <w:r>
        <w:rPr>
          <w:bCs/>
          <w:b/>
        </w:rPr>
        <w:t xml:space="preserve">Location:</w:t>
      </w:r>
      <w:r>
        <w:t xml:space="preserve"> </w:t>
      </w:r>
      <w:r>
        <w:t xml:space="preserve">United Arab Emirates, Dubai</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Dubai Municipality and Relevant Construction Authorities</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of "Mason," a novel masonry material designed for use in the United Arab Emirates, specifically in Dubai. The primary objective is to assess Mason's durability, thermal efficiency, and structural integrity under the extreme environmental conditions characteristic of Dubai, including high temperatures, humidity, and sand exposure.</w:t>
      </w:r>
    </w:p>
    <w:p>
      <w:pPr>
        <w:pStyle w:val="BodyText"/>
      </w:pPr>
      <w:r>
        <w:t xml:space="preserve">The results of this experiment will inform regulatory decisions regarding the approval of Mason for use in construction projects within Dubai, ensuring compliance with local building codes and sustainability goals.</w:t>
      </w:r>
    </w:p>
    <w:bookmarkEnd w:id="20"/>
    <w:bookmarkStart w:id="21" w:name="scope"/>
    <w:p>
      <w:pPr>
        <w:pStyle w:val="Heading2"/>
      </w:pPr>
      <w:r>
        <w:t xml:space="preserve">2. Scope</w:t>
      </w:r>
    </w:p>
    <w:p>
      <w:pPr>
        <w:pStyle w:val="FirstParagraph"/>
      </w:pPr>
      <w:r>
        <w:t xml:space="preserve">This protocol covers the following aspects of Mason:</w:t>
      </w:r>
    </w:p>
    <w:p>
      <w:pPr>
        <w:numPr>
          <w:ilvl w:val="0"/>
          <w:numId w:val="1001"/>
        </w:numPr>
        <w:pStyle w:val="Compact"/>
      </w:pPr>
      <w:r>
        <w:t xml:space="preserve">Thermal conductivity and insulation properties.</w:t>
      </w:r>
    </w:p>
    <w:p>
      <w:pPr>
        <w:numPr>
          <w:ilvl w:val="0"/>
          <w:numId w:val="1001"/>
        </w:numPr>
        <w:pStyle w:val="Compact"/>
      </w:pPr>
      <w:r>
        <w:t xml:space="preserve">Resistance to thermal cycling and cracking.</w:t>
      </w:r>
    </w:p>
    <w:p>
      <w:pPr>
        <w:numPr>
          <w:ilvl w:val="0"/>
          <w:numId w:val="1001"/>
        </w:numPr>
        <w:pStyle w:val="Compact"/>
      </w:pPr>
      <w:r>
        <w:t xml:space="preserve">Structural load-bearing capacity.</w:t>
      </w:r>
    </w:p>
    <w:p>
      <w:pPr>
        <w:numPr>
          <w:ilvl w:val="0"/>
          <w:numId w:val="1001"/>
        </w:numPr>
        <w:pStyle w:val="Compact"/>
      </w:pPr>
      <w:r>
        <w:t xml:space="preserve">Resistance to moisture, salt, and sand abrasion.</w:t>
      </w:r>
    </w:p>
    <w:p>
      <w:pPr>
        <w:numPr>
          <w:ilvl w:val="0"/>
          <w:numId w:val="1001"/>
        </w:numPr>
        <w:pStyle w:val="Compact"/>
      </w:pPr>
      <w:r>
        <w:t xml:space="preserve">Environmental impact and sustainability metrics.</w:t>
      </w:r>
    </w:p>
    <w:p>
      <w:pPr>
        <w:pStyle w:val="FirstParagraph"/>
      </w:pPr>
      <w:r>
        <w:t xml:space="preserve">All testing will be conducted in accordance with international standards (e.g., ASTM, ISO) and local regulations set by the Dubai Municipality.</w:t>
      </w:r>
    </w:p>
    <w:bookmarkEnd w:id="21"/>
    <w:bookmarkStart w:id="25" w:name="experimental-design"/>
    <w:p>
      <w:pPr>
        <w:pStyle w:val="Heading2"/>
      </w:pPr>
      <w:r>
        <w:t xml:space="preserve">3. Experimental Design</w:t>
      </w:r>
    </w:p>
    <w:bookmarkStart w:id="22" w:name="sample-preparation"/>
    <w:p>
      <w:pPr>
        <w:pStyle w:val="Heading3"/>
      </w:pPr>
      <w:r>
        <w:t xml:space="preserve">3.1 Sample Preparation</w:t>
      </w:r>
    </w:p>
    <w:p>
      <w:pPr>
        <w:pStyle w:val="FirstParagraph"/>
      </w:pPr>
      <w:r>
        <w:t xml:space="preserve">Mason samples will be prepared in standardized dimensions (e.g., 100mm x 100mm x 100mm cubes and 200mm x 200mm x 50mm slabs) to ensure consistency across tests. A minimum of 30 samples will be prepared for each test category to account for variability.</w:t>
      </w:r>
    </w:p>
    <w:bookmarkEnd w:id="22"/>
    <w:bookmarkStart w:id="23" w:name="testing-environment"/>
    <w:p>
      <w:pPr>
        <w:pStyle w:val="Heading3"/>
      </w:pPr>
      <w:r>
        <w:t xml:space="preserve">3.2 Testing Environment</w:t>
      </w:r>
    </w:p>
    <w:p>
      <w:pPr>
        <w:pStyle w:val="FirstParagraph"/>
      </w:pPr>
      <w:r>
        <w:t xml:space="preserve">Tests will be conducted in a controlled laboratory environment in Dubai, simulating local conditions:</w:t>
      </w:r>
    </w:p>
    <w:p>
      <w:pPr>
        <w:numPr>
          <w:ilvl w:val="0"/>
          <w:numId w:val="1002"/>
        </w:numPr>
        <w:pStyle w:val="Compact"/>
      </w:pPr>
      <w:r>
        <w:t xml:space="preserve">Temperature range: 20°C to 55°C.</w:t>
      </w:r>
    </w:p>
    <w:p>
      <w:pPr>
        <w:numPr>
          <w:ilvl w:val="0"/>
          <w:numId w:val="1002"/>
        </w:numPr>
        <w:pStyle w:val="Compact"/>
      </w:pPr>
      <w:r>
        <w:t xml:space="preserve">Humidity range: 20% to 80%.</w:t>
      </w:r>
    </w:p>
    <w:p>
      <w:pPr>
        <w:numPr>
          <w:ilvl w:val="0"/>
          <w:numId w:val="1002"/>
        </w:numPr>
        <w:pStyle w:val="Compact"/>
      </w:pPr>
      <w:r>
        <w:t xml:space="preserve">Sand and dust exposure levels equivalent to Dubai's outdoor conditions.</w:t>
      </w:r>
    </w:p>
    <w:bookmarkEnd w:id="23"/>
    <w:bookmarkStart w:id="24" w:name="test-categories"/>
    <w:p>
      <w:pPr>
        <w:pStyle w:val="Heading3"/>
      </w:pPr>
      <w:r>
        <w:t xml:space="preserve">3.3 Test Categories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Test Category</w:t>
            </w:r>
          </w:p>
        </w:tc>
        <w:tc>
          <w:tcPr/>
          <w:p>
            <w:pPr>
              <w:pStyle w:val="Compact"/>
              <w:jc w:val="left"/>
            </w:pPr>
            <w:r>
              <w:t xml:space="preserve">Description</w:t>
            </w:r>
          </w:p>
        </w:tc>
        <w:tc>
          <w:tcPr/>
          <w:p>
            <w:pPr>
              <w:pStyle w:val="Compact"/>
              <w:jc w:val="left"/>
            </w:pPr>
            <w:r>
              <w:t xml:space="preserve">Standard Reference</w:t>
            </w:r>
          </w:p>
        </w:tc>
      </w:tr>
      <w:tr>
        <w:tc>
          <w:tcPr/>
          <w:p>
            <w:pPr>
              <w:pStyle w:val="Compact"/>
              <w:jc w:val="left"/>
            </w:pPr>
            <w:r>
              <w:t xml:space="preserve">Thermal Conductivity</w:t>
            </w:r>
          </w:p>
        </w:tc>
        <w:tc>
          <w:tcPr/>
          <w:p>
            <w:pPr>
              <w:pStyle w:val="Compact"/>
              <w:jc w:val="left"/>
            </w:pPr>
            <w:r>
              <w:t xml:space="preserve">Measure heat transfer through Mason samples.</w:t>
            </w:r>
          </w:p>
        </w:tc>
        <w:tc>
          <w:tcPr/>
          <w:p>
            <w:pPr>
              <w:pStyle w:val="Compact"/>
              <w:jc w:val="left"/>
            </w:pPr>
            <w:r>
              <w:t xml:space="preserve">ASTM C518</w:t>
            </w:r>
          </w:p>
        </w:tc>
      </w:tr>
      <w:tr>
        <w:tc>
          <w:tcPr/>
          <w:p>
            <w:pPr>
              <w:pStyle w:val="Compact"/>
              <w:jc w:val="left"/>
            </w:pPr>
            <w:r>
              <w:t xml:space="preserve">Thermal Cycling</w:t>
            </w:r>
          </w:p>
        </w:tc>
        <w:tc>
          <w:tcPr/>
          <w:p>
            <w:pPr>
              <w:pStyle w:val="Compact"/>
              <w:jc w:val="left"/>
            </w:pPr>
            <w:r>
              <w:t xml:space="preserve">Expose samples to repeated temperature changes.</w:t>
            </w:r>
          </w:p>
        </w:tc>
        <w:tc>
          <w:tcPr/>
          <w:p>
            <w:pPr>
              <w:pStyle w:val="Compact"/>
              <w:jc w:val="left"/>
            </w:pPr>
            <w:r>
              <w:t xml:space="preserve">ISO 834</w:t>
            </w:r>
          </w:p>
        </w:tc>
      </w:tr>
      <w:tr>
        <w:tc>
          <w:tcPr/>
          <w:p>
            <w:pPr>
              <w:pStyle w:val="Compact"/>
              <w:jc w:val="left"/>
            </w:pPr>
            <w:r>
              <w:t xml:space="preserve">Compressive Strength</w:t>
            </w:r>
          </w:p>
        </w:tc>
        <w:tc>
          <w:tcPr/>
          <w:p>
            <w:pPr>
              <w:pStyle w:val="Compact"/>
              <w:jc w:val="left"/>
            </w:pPr>
            <w:r>
              <w:t xml:space="preserve">Apply load until failure to determine strength.</w:t>
            </w:r>
          </w:p>
        </w:tc>
        <w:tc>
          <w:tcPr/>
          <w:p>
            <w:pPr>
              <w:pStyle w:val="Compact"/>
              <w:jc w:val="left"/>
            </w:pPr>
            <w:r>
              <w:t xml:space="preserve">ASTM C39</w:t>
            </w:r>
          </w:p>
        </w:tc>
      </w:tr>
      <w:tr>
        <w:tc>
          <w:tcPr/>
          <w:p>
            <w:pPr>
              <w:pStyle w:val="Compact"/>
              <w:jc w:val="left"/>
            </w:pPr>
            <w:r>
              <w:t xml:space="preserve">Moisture Resistance</w:t>
            </w:r>
          </w:p>
        </w:tc>
        <w:tc>
          <w:tcPr/>
          <w:p>
            <w:pPr>
              <w:pStyle w:val="Compact"/>
              <w:jc w:val="left"/>
            </w:pPr>
            <w:r>
              <w:t xml:space="preserve">Submerge samples in saline water for 7 days.</w:t>
            </w:r>
          </w:p>
        </w:tc>
        <w:tc>
          <w:tcPr/>
          <w:p>
            <w:pPr>
              <w:pStyle w:val="Compact"/>
              <w:jc w:val="left"/>
            </w:pPr>
            <w:r>
              <w:t xml:space="preserve">ASTM C67</w:t>
            </w:r>
          </w:p>
        </w:tc>
      </w:tr>
      <w:tr>
        <w:tc>
          <w:tcPr/>
          <w:p>
            <w:pPr>
              <w:pStyle w:val="Compact"/>
              <w:jc w:val="left"/>
            </w:pPr>
            <w:r>
              <w:t xml:space="preserve">Abrasion Resistance</w:t>
            </w:r>
          </w:p>
        </w:tc>
        <w:tc>
          <w:tcPr/>
          <w:p>
            <w:pPr>
              <w:pStyle w:val="Compact"/>
              <w:jc w:val="left"/>
            </w:pPr>
            <w:r>
              <w:t xml:space="preserve">Simulate sand and dust abrasion over 30 days.</w:t>
            </w:r>
          </w:p>
        </w:tc>
        <w:tc>
          <w:tcPr/>
          <w:p>
            <w:pPr>
              <w:pStyle w:val="Compact"/>
              <w:jc w:val="left"/>
            </w:pPr>
            <w:r>
              <w:t xml:space="preserve">ISO 11913</w:t>
            </w:r>
          </w:p>
        </w:tc>
      </w:tr>
    </w:tbl>
    <w:bookmarkEnd w:id="24"/>
    <w:bookmarkEnd w:id="25"/>
    <w:bookmarkStart w:id="31" w:name="procedures"/>
    <w:p>
      <w:pPr>
        <w:pStyle w:val="Heading2"/>
      </w:pPr>
      <w:r>
        <w:t xml:space="preserve">4. Procedures</w:t>
      </w:r>
    </w:p>
    <w:bookmarkStart w:id="26" w:name="thermal-conductivity-test"/>
    <w:p>
      <w:pPr>
        <w:pStyle w:val="Heading3"/>
      </w:pPr>
      <w:r>
        <w:t xml:space="preserve">4.1 Thermal Conductivity Test</w:t>
      </w:r>
    </w:p>
    <w:p>
      <w:pPr>
        <w:pStyle w:val="FirstParagraph"/>
      </w:pPr>
      <w:r>
        <w:t xml:space="preserve">Place Mason samples in a guarded hot plate apparatus. Gradually increase the temperature difference across the sample and measure the heat flux. Calculate thermal conductivity using Fourier's Law.</w:t>
      </w:r>
    </w:p>
    <w:bookmarkEnd w:id="26"/>
    <w:bookmarkStart w:id="27" w:name="thermal-cycling-test"/>
    <w:p>
      <w:pPr>
        <w:pStyle w:val="Heading3"/>
      </w:pPr>
      <w:r>
        <w:t xml:space="preserve">4.2 Thermal Cycling Test</w:t>
      </w:r>
    </w:p>
    <w:p>
      <w:pPr>
        <w:pStyle w:val="FirstParagraph"/>
      </w:pPr>
      <w:r>
        <w:t xml:space="preserve">Subject samples to 100 cycles of temperature variation between 20°C and 55°C, with each cycle lasting 24 hours. Inspect samples for cracks, delamination, or other damage after every 25 cycles.</w:t>
      </w:r>
    </w:p>
    <w:bookmarkEnd w:id="27"/>
    <w:bookmarkStart w:id="28" w:name="compressive-strength-test"/>
    <w:p>
      <w:pPr>
        <w:pStyle w:val="Heading3"/>
      </w:pPr>
      <w:r>
        <w:t xml:space="preserve">4.3 Compressive Strength Test</w:t>
      </w:r>
    </w:p>
    <w:p>
      <w:pPr>
        <w:pStyle w:val="FirstParagraph"/>
      </w:pPr>
      <w:r>
        <w:t xml:space="preserve">Place samples in a universal testing machine. Apply a compressive load at a constant rate until failure. Record the maximum load and calculate compressive strength.</w:t>
      </w:r>
    </w:p>
    <w:bookmarkEnd w:id="28"/>
    <w:bookmarkStart w:id="29" w:name="moisture-resistance-test"/>
    <w:p>
      <w:pPr>
        <w:pStyle w:val="Heading3"/>
      </w:pPr>
      <w:r>
        <w:t xml:space="preserve">4.4 Moisture Resistance Test</w:t>
      </w:r>
    </w:p>
    <w:p>
      <w:pPr>
        <w:pStyle w:val="FirstParagraph"/>
      </w:pPr>
      <w:r>
        <w:t xml:space="preserve">Submerge samples in a saline solution (3.5% NaCl) for 7 days. Remove, dry, and weigh samples to determine water absorption. Inspect for surface degradation.</w:t>
      </w:r>
    </w:p>
    <w:bookmarkEnd w:id="29"/>
    <w:bookmarkStart w:id="30" w:name="abrasion-resistance-test"/>
    <w:p>
      <w:pPr>
        <w:pStyle w:val="Heading3"/>
      </w:pPr>
      <w:r>
        <w:t xml:space="preserve">4.5 Abrasion Resistance Test</w:t>
      </w:r>
    </w:p>
    <w:p>
      <w:pPr>
        <w:pStyle w:val="FirstParagraph"/>
      </w:pPr>
      <w:r>
        <w:t xml:space="preserve">Expose samples to a controlled stream of sand and dust particles at a velocity of 10 m/s for 30 days. Measure material loss and surface roughness changes.</w:t>
      </w:r>
    </w:p>
    <w:bookmarkEnd w:id="30"/>
    <w:bookmarkEnd w:id="31"/>
    <w:bookmarkStart w:id="32" w:name="data-collection-and-analysis"/>
    <w:p>
      <w:pPr>
        <w:pStyle w:val="Heading2"/>
      </w:pPr>
      <w:r>
        <w:t xml:space="preserve">5. Data Collection and Analysis</w:t>
      </w:r>
    </w:p>
    <w:p>
      <w:pPr>
        <w:pStyle w:val="FirstParagraph"/>
      </w:pPr>
      <w:r>
        <w:t xml:space="preserve">All data will be recorded in a centralized database with timestamps and environmental conditions noted. Statistical analysis will be performed to determine mean values, standard deviations, and confidence intervals for each test category. Results will be compared against established benchmarks for traditional masonry materials used in Dubai.</w:t>
      </w:r>
    </w:p>
    <w:bookmarkEnd w:id="32"/>
    <w:bookmarkStart w:id="33" w:name="safety-and-compliance"/>
    <w:p>
      <w:pPr>
        <w:pStyle w:val="Heading2"/>
      </w:pPr>
      <w:r>
        <w:t xml:space="preserve">6. Safety and Compliance</w:t>
      </w:r>
    </w:p>
    <w:p>
      <w:pPr>
        <w:pStyle w:val="FirstParagraph"/>
      </w:pPr>
      <w:r>
        <w:t xml:space="preserve">All personnel involved in the experiment must adhere to safety protocols, including the use of personal protective equipment (PPE). The experiment will comply with the regulations of the Dubai Municipality and the UAE Federal Law on Occupational Health and Safety.</w:t>
      </w:r>
    </w:p>
    <w:bookmarkEnd w:id="33"/>
    <w:bookmarkStart w:id="34" w:name="reporting"/>
    <w:p>
      <w:pPr>
        <w:pStyle w:val="Heading2"/>
      </w:pPr>
      <w:r>
        <w:t xml:space="preserve">7. Reporting</w:t>
      </w:r>
    </w:p>
    <w:p>
      <w:pPr>
        <w:pStyle w:val="FirstParagraph"/>
      </w:pPr>
      <w:r>
        <w:t xml:space="preserve">A comprehensive report will be generated upon completion of the experiment, detailing:</w:t>
      </w:r>
    </w:p>
    <w:p>
      <w:pPr>
        <w:numPr>
          <w:ilvl w:val="0"/>
          <w:numId w:val="1003"/>
        </w:numPr>
        <w:pStyle w:val="Compact"/>
      </w:pPr>
      <w:r>
        <w:t xml:space="preserve">Methodology and procedures followed.</w:t>
      </w:r>
    </w:p>
    <w:p>
      <w:pPr>
        <w:numPr>
          <w:ilvl w:val="0"/>
          <w:numId w:val="1003"/>
        </w:numPr>
        <w:pStyle w:val="Compact"/>
      </w:pPr>
      <w:r>
        <w:t xml:space="preserve">Raw data and statistical analysis.</w:t>
      </w:r>
    </w:p>
    <w:p>
      <w:pPr>
        <w:numPr>
          <w:ilvl w:val="0"/>
          <w:numId w:val="1003"/>
        </w:numPr>
        <w:pStyle w:val="Compact"/>
      </w:pPr>
      <w:r>
        <w:t xml:space="preserve">Comparison with traditional materials.</w:t>
      </w:r>
    </w:p>
    <w:p>
      <w:pPr>
        <w:numPr>
          <w:ilvl w:val="0"/>
          <w:numId w:val="1003"/>
        </w:numPr>
        <w:pStyle w:val="Compact"/>
      </w:pPr>
      <w:r>
        <w:t xml:space="preserve">Recommendations for the use of Mason in Dubai construction projects.</w:t>
      </w:r>
    </w:p>
    <w:p>
      <w:pPr>
        <w:pStyle w:val="FirstParagraph"/>
      </w:pPr>
      <w:r>
        <w:t xml:space="preserve">The report will be submitted to the Dubai Municipality and relevant stakeholders within 30 days of experiment completion.</w:t>
      </w:r>
    </w:p>
    <w:bookmarkEnd w:id="34"/>
    <w:bookmarkStart w:id="35" w:name="conclusion"/>
    <w:p>
      <w:pPr>
        <w:pStyle w:val="Heading2"/>
      </w:pPr>
      <w:r>
        <w:t xml:space="preserve">8. Conclusion</w:t>
      </w:r>
    </w:p>
    <w:p>
      <w:pPr>
        <w:pStyle w:val="FirstParagraph"/>
      </w:pPr>
      <w:r>
        <w:t xml:space="preserve">This Experiment Protocol for Mason is designed to provide a rigorous and comprehensive evaluation of its suitability for use in the United Arab Emirates, specifically in Dubai. By adhering to this protocol, we aim to ensure that Mason meets the highest standards of performance, safety, and sustainability, contributing to the advancement of construction practices in the region.</w:t>
      </w:r>
    </w:p>
    <w:bookmarkEnd w:id="35"/>
    <w:p>
      <w:pPr>
        <w:pStyle w:val="BodyText"/>
      </w:pPr>
      <w:r>
        <w:t xml:space="preserve">© 2023 Experiment Protocol: Mason. All rights reserved. Prepared for use in Dubai, United Arab Emirates.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Dubai, UAE</dc:title>
  <dc:creator/>
  <dc:language>en</dc:language>
  <cp:keywords/>
  <dcterms:created xsi:type="dcterms:W3CDTF">2026-10-10T02:56:59Z</dcterms:created>
  <dcterms:modified xsi:type="dcterms:W3CDTF">2026-10-10T02:56:59Z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