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Australia</w:t>
      </w:r>
      <w:r>
        <w:t xml:space="preserve"> </w:t>
      </w:r>
      <w:r>
        <w:t xml:space="preserve">Sydney</w:t>
      </w:r>
    </w:p>
    <w:bookmarkStart w:id="33" w:name="Xbc966d73af08a78ae0da111ce0b082853b354b1"/>
    <w:p>
      <w:pPr>
        <w:pStyle w:val="Heading1"/>
      </w:pPr>
      <w:r>
        <w:t xml:space="preserve">Experiment Protocol: Advanced Automotive Mechanics in Australia Sydney</w:t>
      </w:r>
    </w:p>
    <w:p>
      <w:pPr>
        <w:pStyle w:val="FirstParagraph"/>
      </w:pPr>
      <w:r>
        <w:rPr>
          <w:bCs/>
          <w:b/>
        </w:rPr>
        <w:t xml:space="preserve">Protocol ID:</w:t>
      </w:r>
      <w:r>
        <w:t xml:space="preserve"> </w:t>
      </w:r>
      <w:r>
        <w:t xml:space="preserve">AUS-SYD-MECH-2024-001</w:t>
      </w:r>
    </w:p>
    <w:p>
      <w:pPr>
        <w:pStyle w:val="BodyText"/>
      </w:pPr>
      <w:r>
        <w:rPr>
          <w:bCs/>
          <w:b/>
        </w:rPr>
        <w:t xml:space="preserve">Location:</w:t>
      </w:r>
      <w:r>
        <w:t xml:space="preserve"> </w:t>
      </w:r>
      <w:r>
        <w:t xml:space="preserve">Sydney, New South Wales, Australia</w:t>
      </w:r>
    </w:p>
    <w:p>
      <w:pPr>
        <w:pStyle w:val="BodyText"/>
      </w:pPr>
      <w:r>
        <w:rPr>
          <w:bCs/>
          <w:b/>
        </w:rPr>
        <w:t xml:space="preserve">Subject:</w:t>
      </w:r>
      <w:r>
        <w:t xml:space="preserve"> </w:t>
      </w:r>
      <w:r>
        <w:t xml:space="preserve">Mechanical Systems Performance and Diagnostics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mechanical testing and diagnostic experiments on automotive systems within the jurisdiction of Australia Sydney. The primary objective is to evaluate the mechanical integrity, performance efficiency, and safety compliance of internal combustion and hybrid powertrains under conditions typical of the Sydney metropolitan environment.</w:t>
      </w:r>
    </w:p>
    <w:p>
      <w:pPr>
        <w:pStyle w:val="BodyText"/>
      </w:pPr>
      <w:r>
        <w:t xml:space="preserve">Given the specific regulatory framework of New South Wales (NSW) and the unique climatic conditions of Sydney, this protocol ensures that all mechanical experiments adhere to local safety standards, environmental regulations, and industry best practices. The focus is on rigorous data collection to support mechanical engineering research and automotive maintenance optimization.</w:t>
      </w:r>
    </w:p>
    <w:bookmarkEnd w:id="20"/>
    <w:bookmarkStart w:id="21" w:name="scope-and-applicability"/>
    <w:p>
      <w:pPr>
        <w:pStyle w:val="Heading2"/>
      </w:pPr>
      <w:r>
        <w:t xml:space="preserve">2. Scope and Applicability</w:t>
      </w:r>
    </w:p>
    <w:p>
      <w:pPr>
        <w:pStyle w:val="FirstParagraph"/>
      </w:pPr>
      <w:r>
        <w:t xml:space="preserve">This protocol applies to all mechanical experiments conducted in licensed workshops, university laboratories, or testing facilities located in Australia Sydney. It covers:</w:t>
      </w:r>
    </w:p>
    <w:p>
      <w:pPr>
        <w:numPr>
          <w:ilvl w:val="0"/>
          <w:numId w:val="1001"/>
        </w:numPr>
        <w:pStyle w:val="Compact"/>
      </w:pPr>
      <w:r>
        <w:t xml:space="preserve">Engine performance testing (dynamometer analysis).</w:t>
      </w:r>
    </w:p>
    <w:p>
      <w:pPr>
        <w:numPr>
          <w:ilvl w:val="0"/>
          <w:numId w:val="1001"/>
        </w:numPr>
        <w:pStyle w:val="Compact"/>
      </w:pPr>
      <w:r>
        <w:t xml:space="preserve">Braking system efficiency evaluations.</w:t>
      </w:r>
    </w:p>
    <w:p>
      <w:pPr>
        <w:numPr>
          <w:ilvl w:val="0"/>
          <w:numId w:val="1001"/>
        </w:numPr>
        <w:pStyle w:val="Compact"/>
      </w:pPr>
      <w:r>
        <w:t xml:space="preserve">Suspension and steering mechanical stress tests.</w:t>
      </w:r>
    </w:p>
    <w:p>
      <w:pPr>
        <w:numPr>
          <w:ilvl w:val="0"/>
          <w:numId w:val="1001"/>
        </w:numPr>
        <w:pStyle w:val="Compact"/>
      </w:pPr>
      <w:r>
        <w:t xml:space="preserve">Emissions testing aligned with Australian Design Rules (ADRs).</w:t>
      </w:r>
    </w:p>
    <w:p>
      <w:pPr>
        <w:pStyle w:val="FirstParagraph"/>
      </w:pPr>
      <w:r>
        <w:t xml:space="preserve">Any deviation from this protocol must be documented and approved by the supervising mechanical engineer or relevant authority in NSW.</w:t>
      </w:r>
    </w:p>
    <w:bookmarkEnd w:id="21"/>
    <w:bookmarkStart w:id="24" w:name="safety-and-compliance"/>
    <w:p>
      <w:pPr>
        <w:pStyle w:val="Heading2"/>
      </w:pPr>
      <w:r>
        <w:t xml:space="preserve">3. Safety and Compliance</w:t>
      </w:r>
    </w:p>
    <w:p>
      <w:pPr>
        <w:pStyle w:val="FirstParagraph"/>
      </w:pPr>
      <w:r>
        <w:t xml:space="preserve">Safety is paramount in all mechanical experiments. All personnel must comply with the Work Health and Safety Act 2011 (NSW) and relevant Australian Standards (AS/NZS).</w:t>
      </w:r>
    </w:p>
    <w:bookmarkStart w:id="22" w:name="personal-protective-equipment-ppe"/>
    <w:p>
      <w:pPr>
        <w:pStyle w:val="Heading3"/>
      </w:pPr>
      <w:r>
        <w:t xml:space="preserve">3.1 Personal Protective Equipment (PPE)</w:t>
      </w:r>
    </w:p>
    <w:p>
      <w:pPr>
        <w:pStyle w:val="FirstParagraph"/>
      </w:pPr>
      <w:r>
        <w:t xml:space="preserve">All participants must wear:</w:t>
      </w:r>
    </w:p>
    <w:p>
      <w:pPr>
        <w:numPr>
          <w:ilvl w:val="0"/>
          <w:numId w:val="1002"/>
        </w:numPr>
        <w:pStyle w:val="Compact"/>
      </w:pPr>
      <w:r>
        <w:t xml:space="preserve">Safety glasses with side shields.</w:t>
      </w:r>
    </w:p>
    <w:p>
      <w:pPr>
        <w:numPr>
          <w:ilvl w:val="0"/>
          <w:numId w:val="1002"/>
        </w:numPr>
        <w:pStyle w:val="Compact"/>
      </w:pPr>
      <w:r>
        <w:t xml:space="preserve">Steel-capped boots.</w:t>
      </w:r>
    </w:p>
    <w:p>
      <w:pPr>
        <w:numPr>
          <w:ilvl w:val="0"/>
          <w:numId w:val="1002"/>
        </w:numPr>
        <w:pStyle w:val="Compact"/>
      </w:pPr>
      <w:r>
        <w:t xml:space="preserve">High-visibility vests when moving around the workshop.</w:t>
      </w:r>
    </w:p>
    <w:p>
      <w:pPr>
        <w:numPr>
          <w:ilvl w:val="0"/>
          <w:numId w:val="1002"/>
        </w:numPr>
        <w:pStyle w:val="Compact"/>
      </w:pPr>
      <w:r>
        <w:t xml:space="preserve">Hearing protection during high-decibel engine tests.</w:t>
      </w:r>
    </w:p>
    <w:bookmarkEnd w:id="22"/>
    <w:bookmarkStart w:id="23" w:name="environmental-considerations"/>
    <w:p>
      <w:pPr>
        <w:pStyle w:val="Heading3"/>
      </w:pPr>
      <w:r>
        <w:t xml:space="preserve">3.2 Environmental Considerations</w:t>
      </w:r>
    </w:p>
    <w:p>
      <w:pPr>
        <w:pStyle w:val="FirstParagraph"/>
      </w:pPr>
      <w:r>
        <w:t xml:space="preserve">Experiments must minimize environmental impact in accordance with Sydney’s local environmental plans. Fluid spills must be contained using approved spill kits, and emissions must be monitored to ensure compliance with NSW EPA guidelines.</w:t>
      </w:r>
    </w:p>
    <w:p>
      <w:pPr>
        <w:pStyle w:val="BodyText"/>
      </w:pPr>
      <w:r>
        <w:rPr>
          <w:bCs/>
          <w:b/>
        </w:rPr>
        <w:t xml:space="preserve">Warning:</w:t>
      </w:r>
      <w:r>
        <w:t xml:space="preserve"> </w:t>
      </w:r>
      <w:r>
        <w:t xml:space="preserve">Failure to adhere to safety protocols may result in immediate suspension of the experiment and legal consequences under NSW law.</w:t>
      </w:r>
    </w:p>
    <w:bookmarkEnd w:id="23"/>
    <w:bookmarkEnd w:id="24"/>
    <w:bookmarkStart w:id="25" w:name="equipment-and-materials"/>
    <w:p>
      <w:pPr>
        <w:pStyle w:val="Heading2"/>
      </w:pPr>
      <w:r>
        <w:t xml:space="preserve">4. Equipment and Materials</w:t>
      </w:r>
    </w:p>
    <w:p>
      <w:pPr>
        <w:pStyle w:val="FirstParagraph"/>
      </w:pPr>
      <w:r>
        <w:t xml:space="preserve">The following equipment is required for the mechanical experiments: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Chassis Dynamometer</w:t>
            </w:r>
          </w:p>
        </w:tc>
        <w:tc>
          <w:tcPr/>
          <w:p>
            <w:pPr>
              <w:pStyle w:val="Compact"/>
              <w:jc w:val="left"/>
            </w:pPr>
            <w:r>
              <w:t xml:space="preserve">Calibrated to AS/NZS standards</w:t>
            </w:r>
          </w:p>
        </w:tc>
        <w:tc>
          <w:tcPr/>
          <w:p>
            <w:pPr>
              <w:pStyle w:val="Compact"/>
              <w:jc w:val="left"/>
            </w:pPr>
            <w:r>
              <w:t xml:space="preserve">Measure power and torque output</w:t>
            </w:r>
          </w:p>
        </w:tc>
      </w:tr>
      <w:tr>
        <w:tc>
          <w:tcPr/>
          <w:p>
            <w:pPr>
              <w:pStyle w:val="Compact"/>
              <w:jc w:val="left"/>
            </w:pPr>
            <w:r>
              <w:t xml:space="preserve">OBD-II Scanner</w:t>
            </w:r>
          </w:p>
        </w:tc>
        <w:tc>
          <w:tcPr/>
          <w:p>
            <w:pPr>
              <w:pStyle w:val="Compact"/>
              <w:jc w:val="left"/>
            </w:pPr>
            <w:r>
              <w:t xml:space="preserve">Compatible with Australian vehicle standards</w:t>
            </w:r>
          </w:p>
        </w:tc>
        <w:tc>
          <w:tcPr/>
          <w:p>
            <w:pPr>
              <w:pStyle w:val="Compact"/>
              <w:jc w:val="left"/>
            </w:pPr>
            <w:r>
              <w:t xml:space="preserve">Diagnostic data retrieval</w:t>
            </w:r>
          </w:p>
        </w:tc>
      </w:tr>
      <w:tr>
        <w:tc>
          <w:tcPr/>
          <w:p>
            <w:pPr>
              <w:pStyle w:val="Compact"/>
              <w:jc w:val="left"/>
            </w:pPr>
            <w:r>
              <w:t xml:space="preserve">Pressure Gauges</w:t>
            </w:r>
          </w:p>
        </w:tc>
        <w:tc>
          <w:tcPr/>
          <w:p>
            <w:pPr>
              <w:pStyle w:val="Compact"/>
              <w:jc w:val="left"/>
            </w:pPr>
            <w:r>
              <w:t xml:space="preserve">Range: 0-1000 kPa</w:t>
            </w:r>
          </w:p>
        </w:tc>
        <w:tc>
          <w:tcPr/>
          <w:p>
            <w:pPr>
              <w:pStyle w:val="Compact"/>
              <w:jc w:val="left"/>
            </w:pPr>
            <w:r>
              <w:t xml:space="preserve">Engine compression and fuel pressure tests</w:t>
            </w:r>
          </w:p>
        </w:tc>
      </w:tr>
      <w:tr>
        <w:tc>
          <w:tcPr/>
          <w:p>
            <w:pPr>
              <w:pStyle w:val="Compact"/>
              <w:jc w:val="left"/>
            </w:pPr>
            <w:r>
              <w:t xml:space="preserve">Thermal Imaging Camera</w:t>
            </w:r>
          </w:p>
        </w:tc>
        <w:tc>
          <w:tcPr/>
          <w:p>
            <w:pPr>
              <w:pStyle w:val="Compact"/>
              <w:jc w:val="left"/>
            </w:pPr>
            <w:r>
              <w:t xml:space="preserve">Resolution: 320x240</w:t>
            </w:r>
          </w:p>
        </w:tc>
        <w:tc>
          <w:tcPr/>
          <w:p>
            <w:pPr>
              <w:pStyle w:val="Compact"/>
              <w:jc w:val="left"/>
            </w:pPr>
            <w:r>
              <w:t xml:space="preserve">Identify overheating components</w:t>
            </w:r>
          </w:p>
        </w:tc>
      </w:tr>
      <w:tr>
        <w:tc>
          <w:tcPr/>
          <w:p>
            <w:pPr>
              <w:pStyle w:val="Compact"/>
              <w:jc w:val="left"/>
            </w:pPr>
            <w:r>
              <w:t xml:space="preserve">Exhaust Gas Analyzer</w:t>
            </w:r>
          </w:p>
        </w:tc>
        <w:tc>
          <w:tcPr/>
          <w:p>
            <w:pPr>
              <w:pStyle w:val="Compact"/>
              <w:jc w:val="left"/>
            </w:pPr>
            <w:r>
              <w:t xml:space="preserve">Multi-gas (CO, CO2, NOx, HC, O2)</w:t>
            </w:r>
          </w:p>
        </w:tc>
        <w:tc>
          <w:tcPr/>
          <w:p>
            <w:pPr>
              <w:pStyle w:val="Compact"/>
              <w:jc w:val="left"/>
            </w:pPr>
            <w:r>
              <w:t xml:space="preserve">Emissions compliance testing</w:t>
            </w:r>
          </w:p>
        </w:tc>
      </w:tr>
    </w:tbl>
    <w:bookmarkEnd w:id="25"/>
    <w:bookmarkStart w:id="29" w:name="experimental-procedure"/>
    <w:p>
      <w:pPr>
        <w:pStyle w:val="Heading2"/>
      </w:pPr>
      <w:r>
        <w:t xml:space="preserve">5. Experimental Procedure</w:t>
      </w:r>
    </w:p>
    <w:bookmarkStart w:id="26" w:name="pre-experiment-checks"/>
    <w:p>
      <w:pPr>
        <w:pStyle w:val="Heading3"/>
      </w:pPr>
      <w:r>
        <w:t xml:space="preserve">5.1 Pre-Experiment Checks</w:t>
      </w:r>
    </w:p>
    <w:p>
      <w:pPr>
        <w:numPr>
          <w:ilvl w:val="0"/>
          <w:numId w:val="1003"/>
        </w:numPr>
        <w:pStyle w:val="Compact"/>
      </w:pPr>
      <w:r>
        <w:t xml:space="preserve">Inspect the vehicle for visible mechanical damage or leaks.</w:t>
      </w:r>
    </w:p>
    <w:p>
      <w:pPr>
        <w:numPr>
          <w:ilvl w:val="0"/>
          <w:numId w:val="1003"/>
        </w:numPr>
        <w:pStyle w:val="Compact"/>
      </w:pPr>
      <w:r>
        <w:t xml:space="preserve">Verify fluid levels (oil, coolant, brake fluid) are within manufacturer specifications.</w:t>
      </w:r>
    </w:p>
    <w:p>
      <w:pPr>
        <w:numPr>
          <w:ilvl w:val="0"/>
          <w:numId w:val="1003"/>
        </w:numPr>
        <w:pStyle w:val="Compact"/>
      </w:pPr>
      <w:r>
        <w:t xml:space="preserve">Ensure all safety equipment is functional and calibrated.</w:t>
      </w:r>
    </w:p>
    <w:p>
      <w:pPr>
        <w:numPr>
          <w:ilvl w:val="0"/>
          <w:numId w:val="1003"/>
        </w:numPr>
        <w:pStyle w:val="Compact"/>
      </w:pPr>
      <w:r>
        <w:t xml:space="preserve">Confirm that the testing area in Australia Sydney is clear of unauthorized personnel.</w:t>
      </w:r>
    </w:p>
    <w:bookmarkEnd w:id="26"/>
    <w:bookmarkStart w:id="27" w:name="engine-performance-testing"/>
    <w:p>
      <w:pPr>
        <w:pStyle w:val="Heading3"/>
      </w:pPr>
      <w:r>
        <w:t xml:space="preserve">5.2 Engine Performance Testing</w:t>
      </w:r>
    </w:p>
    <w:p>
      <w:pPr>
        <w:numPr>
          <w:ilvl w:val="0"/>
          <w:numId w:val="1004"/>
        </w:numPr>
        <w:pStyle w:val="Compact"/>
      </w:pPr>
      <w:r>
        <w:t xml:space="preserve">Secure the vehicle on the chassis dynamometer using approved restraints.</w:t>
      </w:r>
    </w:p>
    <w:p>
      <w:pPr>
        <w:numPr>
          <w:ilvl w:val="0"/>
          <w:numId w:val="1004"/>
        </w:numPr>
        <w:pStyle w:val="Compact"/>
      </w:pPr>
      <w:r>
        <w:t xml:space="preserve">Connect the OBD-II scanner and exhaust gas analyzer.</w:t>
      </w:r>
    </w:p>
    <w:p>
      <w:pPr>
        <w:numPr>
          <w:ilvl w:val="0"/>
          <w:numId w:val="1004"/>
        </w:numPr>
        <w:pStyle w:val="Compact"/>
      </w:pPr>
      <w:r>
        <w:t xml:space="preserve">Perform a baseline idle test to record RPM, temperature, and emissions.</w:t>
      </w:r>
    </w:p>
    <w:p>
      <w:pPr>
        <w:numPr>
          <w:ilvl w:val="0"/>
          <w:numId w:val="1004"/>
        </w:numPr>
        <w:pStyle w:val="Compact"/>
      </w:pPr>
      <w:r>
        <w:t xml:space="preserve">Gradually increase load on the dynamometer while monitoring torque and power output.</w:t>
      </w:r>
    </w:p>
    <w:p>
      <w:pPr>
        <w:numPr>
          <w:ilvl w:val="0"/>
          <w:numId w:val="1004"/>
        </w:numPr>
        <w:pStyle w:val="Compact"/>
      </w:pPr>
      <w:r>
        <w:t xml:space="preserve">Record data at intervals of 500 RPM up to the manufacturer’s redline.</w:t>
      </w:r>
    </w:p>
    <w:p>
      <w:pPr>
        <w:numPr>
          <w:ilvl w:val="0"/>
          <w:numId w:val="1004"/>
        </w:numPr>
        <w:pStyle w:val="Compact"/>
      </w:pPr>
      <w:r>
        <w:t xml:space="preserve">Allow the engine to cool down before disconnecting equipment.</w:t>
      </w:r>
    </w:p>
    <w:bookmarkEnd w:id="27"/>
    <w:bookmarkStart w:id="28" w:name="braking-system-evaluation"/>
    <w:p>
      <w:pPr>
        <w:pStyle w:val="Heading3"/>
      </w:pPr>
      <w:r>
        <w:t xml:space="preserve">5.3 Braking System Evaluation</w:t>
      </w:r>
    </w:p>
    <w:p>
      <w:pPr>
        <w:numPr>
          <w:ilvl w:val="0"/>
          <w:numId w:val="1005"/>
        </w:numPr>
        <w:pStyle w:val="Compact"/>
      </w:pPr>
      <w:r>
        <w:t xml:space="preserve">Use a brake tester to measure braking force on each wheel.</w:t>
      </w:r>
    </w:p>
    <w:p>
      <w:pPr>
        <w:numPr>
          <w:ilvl w:val="0"/>
          <w:numId w:val="1005"/>
        </w:numPr>
        <w:pStyle w:val="Compact"/>
      </w:pPr>
      <w:r>
        <w:t xml:space="preserve">Compare results against Australian Design Rule 60/03 standards.</w:t>
      </w:r>
    </w:p>
    <w:p>
      <w:pPr>
        <w:numPr>
          <w:ilvl w:val="0"/>
          <w:numId w:val="1005"/>
        </w:numPr>
        <w:pStyle w:val="Compact"/>
      </w:pPr>
      <w:r>
        <w:t xml:space="preserve">Document any discrepancies in braking efficiency or balance.</w:t>
      </w:r>
    </w:p>
    <w:bookmarkEnd w:id="28"/>
    <w:bookmarkEnd w:id="29"/>
    <w:bookmarkStart w:id="30" w:name="data-collection-and-analysis"/>
    <w:p>
      <w:pPr>
        <w:pStyle w:val="Heading2"/>
      </w:pPr>
      <w:r>
        <w:t xml:space="preserve">6. Data Collection and Analysis</w:t>
      </w:r>
    </w:p>
    <w:p>
      <w:pPr>
        <w:pStyle w:val="FirstParagraph"/>
      </w:pPr>
      <w:r>
        <w:t xml:space="preserve">All data must be recorded in a standardized format and stored securely. Key metrics include:</w:t>
      </w:r>
    </w:p>
    <w:p>
      <w:pPr>
        <w:numPr>
          <w:ilvl w:val="0"/>
          <w:numId w:val="1006"/>
        </w:numPr>
        <w:pStyle w:val="Compact"/>
      </w:pPr>
      <w:r>
        <w:t xml:space="preserve">Power output (kW) and torque (Nm).</w:t>
      </w:r>
    </w:p>
    <w:p>
      <w:pPr>
        <w:numPr>
          <w:ilvl w:val="0"/>
          <w:numId w:val="1006"/>
        </w:numPr>
        <w:pStyle w:val="Compact"/>
      </w:pPr>
      <w:r>
        <w:t xml:space="preserve">Emissions levels (g/km).</w:t>
      </w:r>
    </w:p>
    <w:p>
      <w:pPr>
        <w:numPr>
          <w:ilvl w:val="0"/>
          <w:numId w:val="1006"/>
        </w:numPr>
        <w:pStyle w:val="Compact"/>
      </w:pPr>
      <w:r>
        <w:t xml:space="preserve">Braking force distribution (%).</w:t>
      </w:r>
    </w:p>
    <w:p>
      <w:pPr>
        <w:numPr>
          <w:ilvl w:val="0"/>
          <w:numId w:val="1006"/>
        </w:numPr>
        <w:pStyle w:val="Compact"/>
      </w:pPr>
      <w:r>
        <w:t xml:space="preserve">Component temperatures during operation.</w:t>
      </w:r>
    </w:p>
    <w:p>
      <w:pPr>
        <w:pStyle w:val="FirstParagraph"/>
      </w:pPr>
      <w:r>
        <w:t xml:space="preserve">Data analysis should be conducted using approved software tools, and results must be cross-referenced with manufacturer specifications and Australian regulatory limits.</w:t>
      </w:r>
    </w:p>
    <w:bookmarkEnd w:id="30"/>
    <w:bookmarkStart w:id="31" w:name="reporting-and-documentation"/>
    <w:p>
      <w:pPr>
        <w:pStyle w:val="Heading2"/>
      </w:pPr>
      <w:r>
        <w:t xml:space="preserve">7. Reporting and Documentation</w:t>
      </w:r>
    </w:p>
    <w:p>
      <w:pPr>
        <w:pStyle w:val="FirstParagraph"/>
      </w:pPr>
      <w:r>
        <w:t xml:space="preserve">A comprehensive report must be generated after each experiment, including:</w:t>
      </w:r>
    </w:p>
    <w:p>
      <w:pPr>
        <w:numPr>
          <w:ilvl w:val="0"/>
          <w:numId w:val="1007"/>
        </w:numPr>
        <w:pStyle w:val="Compact"/>
      </w:pPr>
      <w:r>
        <w:t xml:space="preserve">Summary of objectives and methodology.</w:t>
      </w:r>
    </w:p>
    <w:p>
      <w:pPr>
        <w:numPr>
          <w:ilvl w:val="0"/>
          <w:numId w:val="1007"/>
        </w:numPr>
        <w:pStyle w:val="Compact"/>
      </w:pPr>
      <w:r>
        <w:t xml:space="preserve">Detailed results with graphs and tables.</w:t>
      </w:r>
    </w:p>
    <w:p>
      <w:pPr>
        <w:numPr>
          <w:ilvl w:val="0"/>
          <w:numId w:val="1007"/>
        </w:numPr>
        <w:pStyle w:val="Compact"/>
      </w:pPr>
      <w:r>
        <w:t xml:space="preserve">Analysis of findings and comparison with benchmarks.</w:t>
      </w:r>
    </w:p>
    <w:p>
      <w:pPr>
        <w:numPr>
          <w:ilvl w:val="0"/>
          <w:numId w:val="1007"/>
        </w:numPr>
        <w:pStyle w:val="Compact"/>
      </w:pPr>
      <w:r>
        <w:t xml:space="preserve">Recommendations for mechanical improvements or maintenance.</w:t>
      </w:r>
    </w:p>
    <w:p>
      <w:pPr>
        <w:numPr>
          <w:ilvl w:val="0"/>
          <w:numId w:val="1007"/>
        </w:numPr>
        <w:pStyle w:val="Compact"/>
      </w:pPr>
      <w:r>
        <w:t xml:space="preserve">Compliance statement confirming adherence to Australia Sydney regulations.</w:t>
      </w:r>
    </w:p>
    <w:p>
      <w:pPr>
        <w:pStyle w:val="FirstParagraph"/>
      </w:pPr>
      <w:r>
        <w:t xml:space="preserve">Reports must be submitted to the supervising authority within 5 business days of experiment completion.</w:t>
      </w:r>
    </w:p>
    <w:bookmarkEnd w:id="31"/>
    <w:bookmarkStart w:id="32" w:name="conclusion"/>
    <w:p>
      <w:pPr>
        <w:pStyle w:val="Heading2"/>
      </w:pPr>
      <w:r>
        <w:t xml:space="preserve">8. Conclusion</w:t>
      </w:r>
    </w:p>
    <w:p>
      <w:pPr>
        <w:pStyle w:val="FirstParagraph"/>
      </w:pPr>
      <w:r>
        <w:t xml:space="preserve">This Experiment Protocol provides a robust framework for conducting mechanical experiments in Australia Sydney. By following these guidelines, researchers and technicians can ensure accurate, safe, and compliant testing of automotive mechanical systems. Continuous review and updates to this protocol will ensure alignment with evolving standards and technological advancements in the field of mechanics.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Australia Sydney</dc:title>
  <dc:creator/>
  <dc:language>en</dc:language>
  <cp:keywords/>
  <dcterms:created xsi:type="dcterms:W3CDTF">2026-10-10T02:30:08Z</dcterms:created>
  <dcterms:modified xsi:type="dcterms:W3CDTF">2026-10-10T02:30:08Z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