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Mechanic</w:t>
      </w:r>
      <w:r>
        <w:t xml:space="preserve"> </w:t>
      </w:r>
      <w:r>
        <w:t xml:space="preserve">Systems</w:t>
      </w:r>
      <w:r>
        <w:t xml:space="preserve"> </w:t>
      </w:r>
      <w:r>
        <w:t xml:space="preserve">in</w:t>
      </w:r>
      <w:r>
        <w:t xml:space="preserve"> </w:t>
      </w:r>
      <w:r>
        <w:t xml:space="preserve">Japan</w:t>
      </w:r>
      <w:r>
        <w:t xml:space="preserve"> </w:t>
      </w:r>
      <w:r>
        <w:t xml:space="preserve">Kyoto</w:t>
      </w:r>
    </w:p>
    <w:bookmarkStart w:id="34" w:name="X5ae156590a08f03a4ebd42d618a18b21ecbc639"/>
    <w:p>
      <w:pPr>
        <w:pStyle w:val="Heading1"/>
      </w:pPr>
      <w:r>
        <w:t xml:space="preserve">Experiment Protocol: Advanced Mechanic Systems in Japan Kyoto</w:t>
      </w:r>
    </w:p>
    <w:bookmarkStart w:id="20"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conducting controlled mechanical experiments within the urban and industrial zones of Japan Kyoto. The primary objective is to evaluate the performance, durability, and efficiency of advanced Mechanic systems under real-world conditions specific to Kyoto’s unique environmental and cultural landscape. These systems include autonomous robotic units, precision mechanical actuators, and hybrid mechanical-electrical devices designed for urban mobility, infrastructure maintenance, and cultural preservation tasks.</w:t>
      </w:r>
    </w:p>
    <w:p>
      <w:pPr>
        <w:pStyle w:val="BodyText"/>
      </w:pPr>
      <w:r>
        <w:t xml:space="preserve">Kyoto, as a city blending ancient heritage with modern innovation, presents a distinctive testing environment. The protocol ensures that all mechanical experiments respect local regulations, minimize disruption to residents and tourists, and contribute to sustainable urban development.</w:t>
      </w:r>
    </w:p>
    <w:bookmarkEnd w:id="20"/>
    <w:bookmarkStart w:id="21" w:name="scope-and-location"/>
    <w:p>
      <w:pPr>
        <w:pStyle w:val="Heading2"/>
      </w:pPr>
      <w:r>
        <w:t xml:space="preserve">2. Scope and Location</w:t>
      </w:r>
    </w:p>
    <w:p>
      <w:pPr>
        <w:pStyle w:val="FirstParagraph"/>
      </w:pPr>
      <w:r>
        <w:t xml:space="preserve">The experiments will be conducted in designated zones within Japan Kyoto, including:</w:t>
      </w:r>
    </w:p>
    <w:p>
      <w:pPr>
        <w:numPr>
          <w:ilvl w:val="0"/>
          <w:numId w:val="1001"/>
        </w:numPr>
        <w:pStyle w:val="Compact"/>
      </w:pPr>
      <w:r>
        <w:t xml:space="preserve">Industrial parks in the northern districts (e.g., Kita-ku)</w:t>
      </w:r>
    </w:p>
    <w:p>
      <w:pPr>
        <w:numPr>
          <w:ilvl w:val="0"/>
          <w:numId w:val="1001"/>
        </w:numPr>
        <w:pStyle w:val="Compact"/>
      </w:pPr>
      <w:r>
        <w:t xml:space="preserve">Controlled urban streets in central Kyoto (e.g., Nakagyo-ku)</w:t>
      </w:r>
    </w:p>
    <w:p>
      <w:pPr>
        <w:numPr>
          <w:ilvl w:val="0"/>
          <w:numId w:val="1001"/>
        </w:numPr>
        <w:pStyle w:val="Compact"/>
      </w:pPr>
      <w:r>
        <w:t xml:space="preserve">Historic preservation zones with restricted access (e.g., Higashiyama-ku)</w:t>
      </w:r>
    </w:p>
    <w:p>
      <w:pPr>
        <w:pStyle w:val="FirstParagraph"/>
      </w:pPr>
      <w:r>
        <w:t xml:space="preserve">All locations have been pre-approved by the Kyoto City Government and relevant mechanical engineering oversight committees.</w:t>
      </w:r>
    </w:p>
    <w:bookmarkEnd w:id="21"/>
    <w:bookmarkStart w:id="22" w:name="equipment-and-mechanic-systems"/>
    <w:p>
      <w:pPr>
        <w:pStyle w:val="Heading2"/>
      </w:pPr>
      <w:r>
        <w:t xml:space="preserve">3. Equipment and Mechanic Systems</w:t>
      </w:r>
    </w:p>
    <w:p>
      <w:pPr>
        <w:pStyle w:val="FirstParagraph"/>
      </w:pPr>
      <w:r>
        <w:t xml:space="preserve">The following Mechanic systems will be utilized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System Type</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Autonomous Robotic Unit (ARU)</w:t>
            </w:r>
          </w:p>
        </w:tc>
        <w:tc>
          <w:tcPr/>
          <w:p>
            <w:pPr>
              <w:pStyle w:val="Compact"/>
              <w:jc w:val="left"/>
            </w:pPr>
            <w:r>
              <w:t xml:space="preserve">Mobile robot with mechanical arms and sensors</w:t>
            </w:r>
          </w:p>
        </w:tc>
        <w:tc>
          <w:tcPr/>
          <w:p>
            <w:pPr>
              <w:pStyle w:val="Compact"/>
              <w:jc w:val="left"/>
            </w:pPr>
            <w:r>
              <w:t xml:space="preserve">Infrastructure inspection and maintenance</w:t>
            </w:r>
          </w:p>
        </w:tc>
      </w:tr>
      <w:tr>
        <w:tc>
          <w:tcPr/>
          <w:p>
            <w:pPr>
              <w:pStyle w:val="Compact"/>
              <w:jc w:val="left"/>
            </w:pPr>
            <w:r>
              <w:t xml:space="preserve">Precision Actuator Module (PAM)</w:t>
            </w:r>
          </w:p>
        </w:tc>
        <w:tc>
          <w:tcPr/>
          <w:p>
            <w:pPr>
              <w:pStyle w:val="Compact"/>
              <w:jc w:val="left"/>
            </w:pPr>
            <w:r>
              <w:t xml:space="preserve">High-accuracy mechanical movement system</w:t>
            </w:r>
          </w:p>
        </w:tc>
        <w:tc>
          <w:tcPr/>
          <w:p>
            <w:pPr>
              <w:pStyle w:val="Compact"/>
              <w:jc w:val="left"/>
            </w:pPr>
            <w:r>
              <w:t xml:space="preserve">Cultural artifact handling and restoration support</w:t>
            </w:r>
          </w:p>
        </w:tc>
      </w:tr>
      <w:tr>
        <w:tc>
          <w:tcPr/>
          <w:p>
            <w:pPr>
              <w:pStyle w:val="Compact"/>
              <w:jc w:val="left"/>
            </w:pPr>
            <w:r>
              <w:t xml:space="preserve">Hybrid Mobility Platform (HMP)</w:t>
            </w:r>
          </w:p>
        </w:tc>
        <w:tc>
          <w:tcPr/>
          <w:p>
            <w:pPr>
              <w:pStyle w:val="Compact"/>
              <w:jc w:val="left"/>
            </w:pPr>
            <w:r>
              <w:t xml:space="preserve">Electric-mechanical vehicle for urban transport</w:t>
            </w:r>
          </w:p>
        </w:tc>
        <w:tc>
          <w:tcPr/>
          <w:p>
            <w:pPr>
              <w:pStyle w:val="Compact"/>
              <w:jc w:val="left"/>
            </w:pPr>
            <w:r>
              <w:t xml:space="preserve">Efficiency and emissions testing in city traffic</w:t>
            </w:r>
          </w:p>
        </w:tc>
      </w:tr>
    </w:tbl>
    <w:p>
      <w:pPr>
        <w:pStyle w:val="BodyText"/>
      </w:pPr>
      <w:r>
        <w:t xml:space="preserve">All Mechanic systems must comply with Japanese industrial standards (JIS) and Kyoto-specific mechanical safety guidelines.</w:t>
      </w:r>
    </w:p>
    <w:bookmarkEnd w:id="22"/>
    <w:bookmarkStart w:id="26" w:name="safety-protocols"/>
    <w:p>
      <w:pPr>
        <w:pStyle w:val="Heading2"/>
      </w:pPr>
      <w:r>
        <w:t xml:space="preserve">4. Safety Protocols</w:t>
      </w:r>
    </w:p>
    <w:bookmarkStart w:id="23" w:name="general-safety"/>
    <w:p>
      <w:pPr>
        <w:pStyle w:val="Heading3"/>
      </w:pPr>
      <w:r>
        <w:t xml:space="preserve">4.1 General Safety</w:t>
      </w:r>
    </w:p>
    <w:p>
      <w:pPr>
        <w:numPr>
          <w:ilvl w:val="0"/>
          <w:numId w:val="1002"/>
        </w:numPr>
        <w:pStyle w:val="Compact"/>
      </w:pPr>
      <w:r>
        <w:t xml:space="preserve">All personnel must wear appropriate personal protective equipment (PPE).</w:t>
      </w:r>
    </w:p>
    <w:p>
      <w:pPr>
        <w:numPr>
          <w:ilvl w:val="0"/>
          <w:numId w:val="1002"/>
        </w:numPr>
        <w:pStyle w:val="Compact"/>
      </w:pPr>
      <w:r>
        <w:t xml:space="preserve">Emergency stop mechanisms must be functional and accessible at all times.</w:t>
      </w:r>
    </w:p>
    <w:p>
      <w:pPr>
        <w:numPr>
          <w:ilvl w:val="0"/>
          <w:numId w:val="1002"/>
        </w:numPr>
        <w:pStyle w:val="Compact"/>
      </w:pPr>
      <w:r>
        <w:t xml:space="preserve">A dedicated safety officer must be present during all active experiments.</w:t>
      </w:r>
    </w:p>
    <w:bookmarkEnd w:id="23"/>
    <w:bookmarkStart w:id="24" w:name="public-safety"/>
    <w:p>
      <w:pPr>
        <w:pStyle w:val="Heading3"/>
      </w:pPr>
      <w:r>
        <w:t xml:space="preserve">4.2 Public Safety</w:t>
      </w:r>
    </w:p>
    <w:p>
      <w:pPr>
        <w:numPr>
          <w:ilvl w:val="0"/>
          <w:numId w:val="1003"/>
        </w:numPr>
        <w:pStyle w:val="Compact"/>
      </w:pPr>
      <w:r>
        <w:t xml:space="preserve">Experiments in public areas must be clearly marked with signage in Japanese and English.</w:t>
      </w:r>
    </w:p>
    <w:p>
      <w:pPr>
        <w:numPr>
          <w:ilvl w:val="0"/>
          <w:numId w:val="1003"/>
        </w:numPr>
        <w:pStyle w:val="Compact"/>
      </w:pPr>
      <w:r>
        <w:t xml:space="preserve">Barriers and safety zones must be established to prevent unauthorized access.</w:t>
      </w:r>
    </w:p>
    <w:p>
      <w:pPr>
        <w:numPr>
          <w:ilvl w:val="0"/>
          <w:numId w:val="1003"/>
        </w:numPr>
        <w:pStyle w:val="Compact"/>
      </w:pPr>
      <w:r>
        <w:t xml:space="preserve">Local authorities and emergency services must be notified in advance.</w:t>
      </w:r>
    </w:p>
    <w:bookmarkEnd w:id="24"/>
    <w:bookmarkStart w:id="25" w:name="environmental-safety"/>
    <w:p>
      <w:pPr>
        <w:pStyle w:val="Heading3"/>
      </w:pPr>
      <w:r>
        <w:t xml:space="preserve">4.3 Environmental Safety</w:t>
      </w:r>
    </w:p>
    <w:p>
      <w:pPr>
        <w:numPr>
          <w:ilvl w:val="0"/>
          <w:numId w:val="1004"/>
        </w:numPr>
        <w:pStyle w:val="Compact"/>
      </w:pPr>
      <w:r>
        <w:t xml:space="preserve">No mechanical systems may emit pollutants exceeding Kyoto’s environmental limits.</w:t>
      </w:r>
    </w:p>
    <w:p>
      <w:pPr>
        <w:numPr>
          <w:ilvl w:val="0"/>
          <w:numId w:val="1004"/>
        </w:numPr>
        <w:pStyle w:val="Compact"/>
      </w:pPr>
      <w:r>
        <w:t xml:space="preserve">Noise levels must remain below 65 decibels in residential and historic areas.</w:t>
      </w:r>
    </w:p>
    <w:bookmarkEnd w:id="25"/>
    <w:bookmarkEnd w:id="26"/>
    <w:bookmarkStart w:id="30" w:name="experimental-procedures"/>
    <w:p>
      <w:pPr>
        <w:pStyle w:val="Heading2"/>
      </w:pPr>
      <w:r>
        <w:t xml:space="preserve">5. Experimental Procedures</w:t>
      </w:r>
    </w:p>
    <w:bookmarkStart w:id="27" w:name="phase-1-calibration-and-testing"/>
    <w:p>
      <w:pPr>
        <w:pStyle w:val="Heading3"/>
      </w:pPr>
      <w:r>
        <w:t xml:space="preserve">5.1 Phase 1: Calibration and Testing</w:t>
      </w:r>
    </w:p>
    <w:p>
      <w:pPr>
        <w:pStyle w:val="FirstParagraph"/>
      </w:pPr>
      <w:r>
        <w:t xml:space="preserve">All Mechanic systems will undergo calibration in a controlled indoor facility in Kyoto. Performance metrics, sensor accuracy, and mechanical response times will be recorded.</w:t>
      </w:r>
    </w:p>
    <w:bookmarkEnd w:id="27"/>
    <w:bookmarkStart w:id="28" w:name="phase-2-controlled-urban-trials"/>
    <w:p>
      <w:pPr>
        <w:pStyle w:val="Heading3"/>
      </w:pPr>
      <w:r>
        <w:t xml:space="preserve">5.2 Phase 2: Controlled Urban Trials</w:t>
      </w:r>
    </w:p>
    <w:p>
      <w:pPr>
        <w:pStyle w:val="FirstParagraph"/>
      </w:pPr>
      <w:r>
        <w:t xml:space="preserve">Systems will be deployed in designated urban zones during off-peak hours. Data will be collected on navigation accuracy, mechanical efficiency, and interaction with urban infrastructure.</w:t>
      </w:r>
    </w:p>
    <w:bookmarkEnd w:id="28"/>
    <w:bookmarkStart w:id="29" w:name="phase-3-historic-zone-integration"/>
    <w:p>
      <w:pPr>
        <w:pStyle w:val="Heading3"/>
      </w:pPr>
      <w:r>
        <w:t xml:space="preserve">5.3 Phase 3: Historic Zone Integration</w:t>
      </w:r>
    </w:p>
    <w:p>
      <w:pPr>
        <w:pStyle w:val="FirstParagraph"/>
      </w:pPr>
      <w:r>
        <w:t xml:space="preserve">Selected Mechanic systems will operate in historic preservation zones under strict supervision. Focus will be on non-invasive operation, minimal footprint, and compatibility with traditional architecture.</w:t>
      </w:r>
    </w:p>
    <w:bookmarkEnd w:id="29"/>
    <w:bookmarkEnd w:id="30"/>
    <w:bookmarkStart w:id="31" w:name="data-collection-and-analysis"/>
    <w:p>
      <w:pPr>
        <w:pStyle w:val="Heading2"/>
      </w:pPr>
      <w:r>
        <w:t xml:space="preserve">6. Data Collection and Analysis</w:t>
      </w:r>
    </w:p>
    <w:p>
      <w:pPr>
        <w:pStyle w:val="FirstParagraph"/>
      </w:pPr>
      <w:r>
        <w:t xml:space="preserve">Data will be collected using onboard sensors, external monitoring stations, and manual observation logs. Key metrics include:</w:t>
      </w:r>
    </w:p>
    <w:p>
      <w:pPr>
        <w:numPr>
          <w:ilvl w:val="0"/>
          <w:numId w:val="1005"/>
        </w:numPr>
        <w:pStyle w:val="Compact"/>
      </w:pPr>
      <w:r>
        <w:t xml:space="preserve">Mechanical efficiency and energy consumption</w:t>
      </w:r>
    </w:p>
    <w:p>
      <w:pPr>
        <w:numPr>
          <w:ilvl w:val="0"/>
          <w:numId w:val="1005"/>
        </w:numPr>
        <w:pStyle w:val="Compact"/>
      </w:pPr>
      <w:r>
        <w:t xml:space="preserve">System reliability and failure rates</w:t>
      </w:r>
    </w:p>
    <w:p>
      <w:pPr>
        <w:numPr>
          <w:ilvl w:val="0"/>
          <w:numId w:val="1005"/>
        </w:numPr>
        <w:pStyle w:val="Compact"/>
      </w:pPr>
      <w:r>
        <w:t xml:space="preserve">Environmental impact (noise, emissions, vibration)</w:t>
      </w:r>
    </w:p>
    <w:p>
      <w:pPr>
        <w:numPr>
          <w:ilvl w:val="0"/>
          <w:numId w:val="1005"/>
        </w:numPr>
        <w:pStyle w:val="Compact"/>
      </w:pPr>
      <w:r>
        <w:t xml:space="preserve">User and public interaction feedback</w:t>
      </w:r>
    </w:p>
    <w:p>
      <w:pPr>
        <w:pStyle w:val="FirstParagraph"/>
      </w:pPr>
      <w:r>
        <w:t xml:space="preserve">All data will be stored securely and analyzed in accordance with Japanese data protection laws.</w:t>
      </w:r>
    </w:p>
    <w:bookmarkEnd w:id="31"/>
    <w:bookmarkStart w:id="32" w:name="compliance-and-reporting"/>
    <w:p>
      <w:pPr>
        <w:pStyle w:val="Heading2"/>
      </w:pPr>
      <w:r>
        <w:t xml:space="preserve">7. Compliance and Reporting</w:t>
      </w:r>
    </w:p>
    <w:p>
      <w:pPr>
        <w:pStyle w:val="FirstParagraph"/>
      </w:pPr>
      <w:r>
        <w:t xml:space="preserve">This Experiment Protocol adheres to:</w:t>
      </w:r>
    </w:p>
    <w:p>
      <w:pPr>
        <w:numPr>
          <w:ilvl w:val="0"/>
          <w:numId w:val="1006"/>
        </w:numPr>
        <w:pStyle w:val="Compact"/>
      </w:pPr>
      <w:r>
        <w:t xml:space="preserve">Japan’s Mechanical Engineering Standards (JIS)</w:t>
      </w:r>
    </w:p>
    <w:p>
      <w:pPr>
        <w:numPr>
          <w:ilvl w:val="0"/>
          <w:numId w:val="1006"/>
        </w:numPr>
        <w:pStyle w:val="Compact"/>
      </w:pPr>
      <w:r>
        <w:t xml:space="preserve">Kyoto City Urban Development and Safety Regulations</w:t>
      </w:r>
    </w:p>
    <w:p>
      <w:pPr>
        <w:numPr>
          <w:ilvl w:val="0"/>
          <w:numId w:val="1006"/>
        </w:numPr>
        <w:pStyle w:val="Compact"/>
      </w:pPr>
      <w:r>
        <w:t xml:space="preserve">International standards for robotic and mechanical testing</w:t>
      </w:r>
    </w:p>
    <w:p>
      <w:pPr>
        <w:pStyle w:val="FirstParagraph"/>
      </w:pPr>
      <w:r>
        <w:t xml:space="preserve">A final report will be submitted to the Kyoto City Government and participating research institutions within 30 days of experiment completion.</w:t>
      </w:r>
    </w:p>
    <w:bookmarkEnd w:id="32"/>
    <w:bookmarkStart w:id="33" w:name="conclusion"/>
    <w:p>
      <w:pPr>
        <w:pStyle w:val="Heading2"/>
      </w:pPr>
      <w:r>
        <w:t xml:space="preserve">8. Conclusion</w:t>
      </w:r>
    </w:p>
    <w:p>
      <w:pPr>
        <w:pStyle w:val="FirstParagraph"/>
      </w:pPr>
      <w:r>
        <w:t xml:space="preserve">This Experiment Protocol provides a comprehensive framework for safely and effectively testing advanced Mechanic systems in Japan Kyoto. By integrating technical rigor with respect for Kyoto’s unique environment, this protocol aims to advance mechanical innovation while preserving the city’s cultural and social integrity.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Mechanic Systems in Japan Kyoto</dc:title>
  <dc:creator/>
  <dc:language>en</dc:language>
  <cp:keywords/>
  <dcterms:created xsi:type="dcterms:W3CDTF">2026-10-10T03:10:02Z</dcterms:created>
  <dcterms:modified xsi:type="dcterms:W3CDTF">2026-10-10T03:10:02Z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