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Standards</w:t>
      </w:r>
      <w:r>
        <w:t xml:space="preserve"> </w:t>
      </w:r>
      <w:r>
        <w:t xml:space="preserve">in</w:t>
      </w:r>
      <w:r>
        <w:t xml:space="preserve"> </w:t>
      </w:r>
      <w:r>
        <w:t xml:space="preserve">Dhaka,</w:t>
      </w:r>
      <w:r>
        <w:t xml:space="preserve"> </w:t>
      </w:r>
      <w:r>
        <w:t xml:space="preserve">Bangladesh</w:t>
      </w:r>
    </w:p>
    <w:bookmarkStart w:id="20" w:name="X5bc2a20319ac968dad0e2381b595104218ed717"/>
    <w:p>
      <w:pPr>
        <w:pStyle w:val="Heading1"/>
      </w:pPr>
      <w:r>
        <w:t xml:space="preserve">Experiment Protocol: Mechanical Engineering Assessment</w:t>
      </w:r>
    </w:p>
    <w:p>
      <w:pPr>
        <w:pStyle w:val="FirstParagraph"/>
      </w:pPr>
      <w:r>
        <w:rPr>
          <w:bCs/>
          <w:b/>
        </w:rPr>
        <w:t xml:space="preserve">Location:</w:t>
      </w:r>
      <w:r>
        <w:t xml:space="preserve"> </w:t>
      </w:r>
      <w:r>
        <w:t xml:space="preserve">Dhaka, Bangladesh</w:t>
      </w:r>
    </w:p>
    <w:p>
      <w:pPr>
        <w:pStyle w:val="BodyText"/>
      </w:pPr>
      <w:r>
        <w:rPr>
          <w:bCs/>
          <w:b/>
        </w:rPr>
        <w:t xml:space="preserve">Target Audience:</w:t>
      </w:r>
      <w:r>
        <w:t xml:space="preserve"> </w:t>
      </w:r>
      <w:r>
        <w:t xml:space="preserve">Mechanical Engineers, Research Technicians, Quality Assurance Specialists</w:t>
      </w:r>
    </w:p>
    <w:p>
      <w:pPr>
        <w:pStyle w:val="BodyText"/>
      </w:pPr>
      <w:r>
        <w:rPr>
          <w:bCs/>
          <w:b/>
        </w:rPr>
        <w:t xml:space="preserve">Date of Issue: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scope"/>
    <w:p>
      <w:pPr>
        <w:pStyle w:val="Heading2"/>
      </w:pPr>
      <w:r>
        <w:t xml:space="preserve">1. Introduction and Scope</w:t>
      </w:r>
    </w:p>
    <w:p>
      <w:pPr>
        <w:pStyle w:val="FirstParagraph"/>
      </w:pPr>
      <w:r>
        <w:t xml:space="preserve">This Experiment Protocol establishes the standardized procedures for conducting mechanical engineering experiments within the industrial and academic sectors of Dhaka, Bangladesh. As the capital city and the primary industrial hub of Bangladesh, Dhaka hosts a diverse range of manufacturing facilities, including textile mills, pharmaceutical plants, automotive assembly units, and power generation stations.</w:t>
      </w:r>
    </w:p>
    <w:p>
      <w:pPr>
        <w:pStyle w:val="BodyText"/>
      </w:pPr>
      <w:r>
        <w:t xml:space="preserve">The Mechanical Engineer operating in this environment must adhere to rigorous testing standards to ensure equipment reliability, safety, and efficiency. This document outlines the methodology for material testing, thermodynamic analysis, and fluid mechanics experiments, specifically adapted to the environmental conditions and regulatory frameworks of Bangladesh.</w:t>
      </w:r>
    </w:p>
    <w:bookmarkEnd w:id="21"/>
    <w:bookmarkStart w:id="22" w:name="environmental-considerations-for-dhaka"/>
    <w:p>
      <w:pPr>
        <w:pStyle w:val="Heading2"/>
      </w:pPr>
      <w:r>
        <w:t xml:space="preserve">2. Environmental Considerations for Dhaka</w:t>
      </w:r>
    </w:p>
    <w:p>
      <w:pPr>
        <w:pStyle w:val="FirstParagraph"/>
      </w:pPr>
      <w:r>
        <w:t xml:space="preserve">A critical aspect of this protocol is the adaptation of experimental parameters to the local climate of Dhaka. The region experiences a tropical monsoon climate characterized by high humidity, significant temperature fluctuations, and seasonal dust.</w:t>
      </w:r>
    </w:p>
    <w:p>
      <w:pPr>
        <w:numPr>
          <w:ilvl w:val="0"/>
          <w:numId w:val="1001"/>
        </w:numPr>
        <w:pStyle w:val="Compact"/>
      </w:pPr>
      <w:r>
        <w:rPr>
          <w:bCs/>
          <w:b/>
        </w:rPr>
        <w:t xml:space="preserve">Humidity Control:</w:t>
      </w:r>
      <w:r>
        <w:t xml:space="preserve"> </w:t>
      </w:r>
      <w:r>
        <w:t xml:space="preserve">Mechanical Engineers must account for ambient humidity levels, which often exceed 80% during the monsoon season. This affects material properties, particularly in corrosion testing and electronic component integration within mechanical systems.</w:t>
      </w:r>
    </w:p>
    <w:p>
      <w:pPr>
        <w:numPr>
          <w:ilvl w:val="0"/>
          <w:numId w:val="1001"/>
        </w:numPr>
        <w:pStyle w:val="Compact"/>
      </w:pPr>
      <w:r>
        <w:rPr>
          <w:bCs/>
          <w:b/>
        </w:rPr>
        <w:t xml:space="preserve">Temperature Variance:</w:t>
      </w:r>
      <w:r>
        <w:t xml:space="preserve"> </w:t>
      </w:r>
      <w:r>
        <w:t xml:space="preserve">Experiments involving thermal expansion or heat transfer must consider ambient temperatures ranging from 15°C in winter to over 40°C in summer.</w:t>
      </w:r>
    </w:p>
    <w:p>
      <w:pPr>
        <w:numPr>
          <w:ilvl w:val="0"/>
          <w:numId w:val="1001"/>
        </w:numPr>
        <w:pStyle w:val="Compact"/>
      </w:pPr>
      <w:r>
        <w:rPr>
          <w:bCs/>
          <w:b/>
        </w:rPr>
        <w:t xml:space="preserve">Particulate Matter:</w:t>
      </w:r>
      <w:r>
        <w:t xml:space="preserve"> </w:t>
      </w:r>
      <w:r>
        <w:t xml:space="preserve">Due to urban pollution and construction activity in Dhaka, filtration systems must be employed in all fluid dynamics and combustion experiments to prevent contamination of samples.</w:t>
      </w:r>
    </w:p>
    <w:bookmarkEnd w:id="22"/>
    <w:bookmarkStart w:id="25" w:name="X65493c324b5450e3ad8182b6eaced08ad4e2fa5"/>
    <w:p>
      <w:pPr>
        <w:pStyle w:val="Heading2"/>
      </w:pPr>
      <w:r>
        <w:t xml:space="preserve">3. Safety Protocols and Regulatory Compliance</w:t>
      </w:r>
    </w:p>
    <w:p>
      <w:pPr>
        <w:pStyle w:val="FirstParagraph"/>
      </w:pPr>
      <w:r>
        <w:t xml:space="preserve">All experiments must comply with the Bangladesh Labor Act and guidelines set forth by the Department of Inspection for Factories and Establishments (DIFE). The Mechanical Engineer is responsible for ensuring the safety of all personnel involved.</w:t>
      </w:r>
    </w:p>
    <w:bookmarkStart w:id="23" w:name="personal-protective-equipment-ppe"/>
    <w:p>
      <w:pPr>
        <w:pStyle w:val="Heading3"/>
      </w:pPr>
      <w:r>
        <w:t xml:space="preserve">3.1 Personal Protective Equipment (PPE)</w:t>
      </w:r>
    </w:p>
    <w:p>
      <w:pPr>
        <w:pStyle w:val="FirstParagraph"/>
      </w:pPr>
      <w:r>
        <w:t xml:space="preserve">Mandatory PPE includes safety goggles, steel-toed boots, high-visibility vests, and hearing protection. In laboratories located in areas such as Uttara or Mirpur, where power fluctuations are common, emergency lighting and backup power supplies must be verified before commencing any high-voltage or automated mechanical testing.</w:t>
      </w:r>
    </w:p>
    <w:bookmarkEnd w:id="23"/>
    <w:bookmarkStart w:id="24" w:name="emergency-procedures"/>
    <w:p>
      <w:pPr>
        <w:pStyle w:val="Heading3"/>
      </w:pPr>
      <w:r>
        <w:t xml:space="preserve">3.2 Emergency Procedures</w:t>
      </w:r>
    </w:p>
    <w:p>
      <w:pPr>
        <w:pStyle w:val="FirstParagraph"/>
      </w:pPr>
      <w:r>
        <w:t xml:space="preserve">Given the density of infrastructure in Dhaka, evacuation routes must be clearly marked and unobstructed. Fire extinguishers suitable for electrical and chemical fires must be accessible. A designated safety officer must be present during all high-risk experiments.</w:t>
      </w:r>
    </w:p>
    <w:bookmarkEnd w:id="24"/>
    <w:bookmarkEnd w:id="25"/>
    <w:bookmarkStart w:id="29" w:name="experimental-methodology"/>
    <w:p>
      <w:pPr>
        <w:pStyle w:val="Heading2"/>
      </w:pPr>
      <w:r>
        <w:t xml:space="preserve">4. Experimental Methodology</w:t>
      </w:r>
    </w:p>
    <w:p>
      <w:pPr>
        <w:pStyle w:val="FirstParagraph"/>
      </w:pPr>
      <w:r>
        <w:t xml:space="preserve">The following methodologies are prescribed for standard mechanical engineering assessments.</w:t>
      </w:r>
    </w:p>
    <w:bookmarkStart w:id="26" w:name="material-strength-and-durability-testing"/>
    <w:p>
      <w:pPr>
        <w:pStyle w:val="Heading3"/>
      </w:pPr>
      <w:r>
        <w:t xml:space="preserve">4.1 Material Strength and Durability Testing</w:t>
      </w:r>
    </w:p>
    <w:p>
      <w:pPr>
        <w:pStyle w:val="FirstParagraph"/>
      </w:pPr>
      <w:r>
        <w:t xml:space="preserve">For structural components used in Dhaka's construction and manufacturing sectors, tensile, compressive, and shear tests must be conducted according to ASTM or BS standards.</w:t>
      </w:r>
    </w:p>
    <w:p>
      <w:pPr>
        <w:numPr>
          <w:ilvl w:val="0"/>
          <w:numId w:val="1002"/>
        </w:numPr>
        <w:pStyle w:val="Compact"/>
      </w:pPr>
      <w:r>
        <w:rPr>
          <w:bCs/>
          <w:b/>
        </w:rPr>
        <w:t xml:space="preserve">Sample Preparation:</w:t>
      </w:r>
      <w:r>
        <w:t xml:space="preserve"> </w:t>
      </w:r>
      <w:r>
        <w:t xml:space="preserve">Samples must be conditioned in a controlled environment for 24 hours prior to testing to stabilize moisture content.</w:t>
      </w:r>
    </w:p>
    <w:p>
      <w:pPr>
        <w:numPr>
          <w:ilvl w:val="0"/>
          <w:numId w:val="1002"/>
        </w:numPr>
        <w:pStyle w:val="Compact"/>
      </w:pPr>
      <w:r>
        <w:rPr>
          <w:bCs/>
          <w:b/>
        </w:rPr>
        <w:t xml:space="preserve">Testing Equipment:</w:t>
      </w:r>
      <w:r>
        <w:t xml:space="preserve"> </w:t>
      </w:r>
      <w:r>
        <w:t xml:space="preserve">Universal Testing Machines (UTM) must be calibrated annually by a certified agency in Bangladesh.</w:t>
      </w:r>
    </w:p>
    <w:p>
      <w:pPr>
        <w:numPr>
          <w:ilvl w:val="0"/>
          <w:numId w:val="1002"/>
        </w:numPr>
        <w:pStyle w:val="Compact"/>
      </w:pPr>
      <w:r>
        <w:rPr>
          <w:bCs/>
          <w:b/>
        </w:rPr>
        <w:t xml:space="preserve">Data Recording:</w:t>
      </w:r>
      <w:r>
        <w:t xml:space="preserve"> </w:t>
      </w:r>
      <w:r>
        <w:t xml:space="preserve">Load-displacement curves must be recorded digitally. Any anomalies must be investigated immediately.</w:t>
      </w:r>
    </w:p>
    <w:bookmarkEnd w:id="26"/>
    <w:bookmarkStart w:id="27" w:name="thermodynamic-and-hvac-system-analysis"/>
    <w:p>
      <w:pPr>
        <w:pStyle w:val="Heading3"/>
      </w:pPr>
      <w:r>
        <w:t xml:space="preserve">4.2 Thermodynamic and HVAC System Analysis</w:t>
      </w:r>
    </w:p>
    <w:p>
      <w:pPr>
        <w:pStyle w:val="FirstParagraph"/>
      </w:pPr>
      <w:r>
        <w:t xml:space="preserve">With the high demand for cooling in Dhaka, HVAC system efficiency is a priority. Experiments should focus on heat exchanger performance and refrigerant leakage detection.</w:t>
      </w:r>
    </w:p>
    <w:p>
      <w:pPr>
        <w:numPr>
          <w:ilvl w:val="0"/>
          <w:numId w:val="1003"/>
        </w:numPr>
        <w:pStyle w:val="Compact"/>
      </w:pPr>
      <w:r>
        <w:rPr>
          <w:bCs/>
          <w:b/>
        </w:rPr>
        <w:t xml:space="preserve">Calibration:</w:t>
      </w:r>
      <w:r>
        <w:t xml:space="preserve"> </w:t>
      </w:r>
      <w:r>
        <w:t xml:space="preserve">Thermocouples and pressure transducers must be calibrated against known standards.</w:t>
      </w:r>
    </w:p>
    <w:p>
      <w:pPr>
        <w:numPr>
          <w:ilvl w:val="0"/>
          <w:numId w:val="1003"/>
        </w:numPr>
        <w:pStyle w:val="Compact"/>
      </w:pPr>
      <w:r>
        <w:rPr>
          <w:bCs/>
          <w:b/>
        </w:rPr>
        <w:t xml:space="preserve">Environmental Simulation:</w:t>
      </w:r>
      <w:r>
        <w:t xml:space="preserve"> </w:t>
      </w:r>
      <w:r>
        <w:t xml:space="preserve">Tests should simulate peak summer conditions (40°C ambient) to evaluate system performance under stress.</w:t>
      </w:r>
    </w:p>
    <w:bookmarkEnd w:id="27"/>
    <w:bookmarkStart w:id="28" w:name="fluid-mechanics-and-pump-efficiency"/>
    <w:p>
      <w:pPr>
        <w:pStyle w:val="Heading3"/>
      </w:pPr>
      <w:r>
        <w:t xml:space="preserve">4.3 Fluid Mechanics and Pump Efficiency</w:t>
      </w:r>
    </w:p>
    <w:p>
      <w:pPr>
        <w:pStyle w:val="FirstParagraph"/>
      </w:pPr>
      <w:r>
        <w:t xml:space="preserve">Given the reliance on water supply systems and industrial fluid transfer, pump efficiency tests are essential.</w:t>
      </w:r>
    </w:p>
    <w:p>
      <w:pPr>
        <w:numPr>
          <w:ilvl w:val="0"/>
          <w:numId w:val="1004"/>
        </w:numPr>
        <w:pStyle w:val="Compact"/>
      </w:pPr>
      <w:r>
        <w:rPr>
          <w:bCs/>
          <w:b/>
        </w:rPr>
        <w:t xml:space="preserve">Flow Measurement:</w:t>
      </w:r>
      <w:r>
        <w:t xml:space="preserve"> </w:t>
      </w:r>
      <w:r>
        <w:t xml:space="preserve">Use calibrated flow meters to measure input and output rates.</w:t>
      </w:r>
    </w:p>
    <w:p>
      <w:pPr>
        <w:numPr>
          <w:ilvl w:val="0"/>
          <w:numId w:val="1004"/>
        </w:numPr>
        <w:pStyle w:val="Compact"/>
      </w:pPr>
      <w:r>
        <w:rPr>
          <w:bCs/>
          <w:b/>
        </w:rPr>
        <w:t xml:space="preserve">Power Consumption:</w:t>
      </w:r>
      <w:r>
        <w:t xml:space="preserve"> </w:t>
      </w:r>
      <w:r>
        <w:t xml:space="preserve">Monitor electrical power usage to calculate overall efficiency, considering the voltage fluctuations common in Dhaka's grid.</w:t>
      </w:r>
    </w:p>
    <w:bookmarkEnd w:id="28"/>
    <w:bookmarkEnd w:id="29"/>
    <w:bookmarkStart w:id="30" w:name="data-management-and-reporting"/>
    <w:p>
      <w:pPr>
        <w:pStyle w:val="Heading2"/>
      </w:pPr>
      <w:r>
        <w:t xml:space="preserve">5. Data Management and Reporting</w:t>
      </w:r>
    </w:p>
    <w:p>
      <w:pPr>
        <w:pStyle w:val="FirstParagraph"/>
      </w:pPr>
      <w:r>
        <w:t xml:space="preserve">Accurate documentation is vital for quality assurance and regulatory compliance.</w:t>
      </w:r>
    </w:p>
    <w:p>
      <w:pPr>
        <w:numPr>
          <w:ilvl w:val="0"/>
          <w:numId w:val="1005"/>
        </w:numPr>
        <w:pStyle w:val="Compact"/>
      </w:pPr>
      <w:r>
        <w:rPr>
          <w:bCs/>
          <w:b/>
        </w:rPr>
        <w:t xml:space="preserve">Raw Data:</w:t>
      </w:r>
      <w:r>
        <w:t xml:space="preserve"> </w:t>
      </w:r>
      <w:r>
        <w:t xml:space="preserve">All raw data must be stored securely, both digitally and in physical logbooks, for a minimum of five years.</w:t>
      </w:r>
    </w:p>
    <w:p>
      <w:pPr>
        <w:numPr>
          <w:ilvl w:val="0"/>
          <w:numId w:val="1005"/>
        </w:numPr>
        <w:pStyle w:val="Compact"/>
      </w:pPr>
      <w:r>
        <w:rPr>
          <w:bCs/>
          <w:b/>
        </w:rPr>
        <w:t xml:space="preserve">Analysis:</w:t>
      </w:r>
      <w:r>
        <w:t xml:space="preserve"> </w:t>
      </w:r>
      <w:r>
        <w:t xml:space="preserve">Statistical analysis should be performed to determine the mean, standard deviation, and confidence intervals of the results.</w:t>
      </w:r>
    </w:p>
    <w:p>
      <w:pPr>
        <w:numPr>
          <w:ilvl w:val="0"/>
          <w:numId w:val="1005"/>
        </w:numPr>
        <w:pStyle w:val="Compact"/>
      </w:pPr>
      <w:r>
        <w:rPr>
          <w:bCs/>
          <w:b/>
        </w:rPr>
        <w:t xml:space="preserve">Reporting:</w:t>
      </w:r>
      <w:r>
        <w:t xml:space="preserve"> </w:t>
      </w:r>
      <w:r>
        <w:t xml:space="preserve">Final reports must be written in English, the standard language of engineering in Bangladesh, and include executive summaries, detailed methodologies, results, and recommendations.</w:t>
      </w:r>
    </w:p>
    <w:bookmarkEnd w:id="30"/>
    <w:bookmarkStart w:id="31" w:name="conclusion"/>
    <w:p>
      <w:pPr>
        <w:pStyle w:val="Heading2"/>
      </w:pPr>
      <w:r>
        <w:t xml:space="preserve">6. Conclusion</w:t>
      </w:r>
    </w:p>
    <w:p>
      <w:pPr>
        <w:pStyle w:val="FirstParagraph"/>
      </w:pPr>
      <w:r>
        <w:t xml:space="preserve">This Experiment Protocol provides a comprehensive framework for Mechanical Engineers operating in Dhaka, Bangladesh. By adhering to these guidelines, engineers can ensure that their work meets international standards while addressing the specific challenges posed by the local environment and infrastructure. Continuous review and updating of this protocol are recommended to incorporate new technologies and regulatory changes.</w:t>
      </w:r>
    </w:p>
    <w:bookmarkEnd w:id="31"/>
    <w:p>
      <w:pPr>
        <w:pStyle w:val="BodyText"/>
      </w:pPr>
      <w:r>
        <w:rPr>
          <w:bCs/>
          <w:b/>
        </w:rPr>
        <w:t xml:space="preserve">Note:</w:t>
      </w:r>
      <w:r>
        <w:t xml:space="preserve"> </w:t>
      </w:r>
      <w:r>
        <w:t xml:space="preserve">This document serves as a general guideline. Specific projects may require additional protocols based on client requirements or specialized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Standards in Dhaka, Bangladesh</dc:title>
  <dc:creator/>
  <dc:language>en</dc:language>
  <cp:keywords/>
  <dcterms:created xsi:type="dcterms:W3CDTF">2026-10-10T03:41:37Z</dcterms:created>
  <dcterms:modified xsi:type="dcterms:W3CDTF">2026-10-10T03:41:37Z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