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Canada</w:t>
      </w:r>
      <w:r>
        <w:t xml:space="preserve"> </w:t>
      </w:r>
      <w:r>
        <w:t xml:space="preserve">Toronto</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Structural Integrity and Thermal Performance Analysis of Advanced Composite Materials for Urban Infrastructure</w:t>
      </w:r>
    </w:p>
    <w:p>
      <w:pPr>
        <w:pStyle w:val="BodyText"/>
      </w:pPr>
      <w:r>
        <w:rPr>
          <w:bCs/>
          <w:b/>
        </w:rPr>
        <w:t xml:space="preserve">Location:</w:t>
      </w:r>
      <w:r>
        <w:t xml:space="preserve"> </w:t>
      </w:r>
      <w:r>
        <w:t xml:space="preserve">Canada Toronto, Ontario</w:t>
      </w:r>
    </w:p>
    <w:p>
      <w:pPr>
        <w:pStyle w:val="BodyText"/>
      </w:pPr>
      <w:r>
        <w:rPr>
          <w:bCs/>
          <w:b/>
        </w:rPr>
        <w:t xml:space="preserve">Prepared By:</w:t>
      </w:r>
      <w:r>
        <w:t xml:space="preserve"> </w:t>
      </w:r>
      <w:r>
        <w:t xml:space="preserve">Lead Mechanical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ME-TOR-2023-001</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procedures to be followed by the Mechanical Engineer team conducting material stress and thermal testing in Canada Toronto. The primary objective is to evaluate the performance of novel composite materials under conditions simulating the extreme seasonal variations characteristic of the Toronto climate. Specifically, this protocol aims to determine the fatigue life, tensile strength, and thermal expansion coefficients of these materials when subjected to cyclic loading and temperature fluctuations ranging from -30°C to +35°C.</w:t>
      </w:r>
    </w:p>
    <w:p>
      <w:pPr>
        <w:pStyle w:val="BodyText"/>
      </w:pPr>
      <w:r>
        <w:t xml:space="preserve">The findings from this experiment will inform the design specifications for next-generation infrastructure components, ensuring compliance with the Ontario Building Code and CSA (Canadian Standards Association) standards. As a Mechanical Engineer operating within the regulatory framework of Canada Toronto, adherence to this protocol is mandatory to ensure data integrity, safety, and reproducibility.</w:t>
      </w:r>
    </w:p>
    <w:bookmarkEnd w:id="21"/>
    <w:bookmarkStart w:id="22" w:name="scope-and-responsibilities"/>
    <w:p>
      <w:pPr>
        <w:pStyle w:val="Heading2"/>
      </w:pPr>
      <w:r>
        <w:t xml:space="preserve">2. Scope and Responsibilities</w:t>
      </w:r>
    </w:p>
    <w:p>
      <w:pPr>
        <w:pStyle w:val="FirstParagraph"/>
      </w:pPr>
      <w:r>
        <w:t xml:space="preserve">This protocol applies to all Mechanical Engineers, technicians, and research assistants involved in the testing phase located at the designated laboratory facility in Canada Toronto. The Lead Mechanical Engineer is responsible for overseeing the execution of this protocol, ensuring that all safety guidelines are met, and that the experimental setup aligns with the theoretical models.</w:t>
      </w:r>
    </w:p>
    <w:p>
      <w:pPr>
        <w:pStyle w:val="BodyText"/>
      </w:pPr>
      <w:r>
        <w:t xml:space="preserve">The scope includes:</w:t>
      </w:r>
    </w:p>
    <w:p>
      <w:pPr>
        <w:numPr>
          <w:ilvl w:val="0"/>
          <w:numId w:val="1001"/>
        </w:numPr>
        <w:pStyle w:val="Compact"/>
      </w:pPr>
      <w:r>
        <w:t xml:space="preserve">Preparation of composite material samples.</w:t>
      </w:r>
    </w:p>
    <w:p>
      <w:pPr>
        <w:numPr>
          <w:ilvl w:val="0"/>
          <w:numId w:val="1001"/>
        </w:numPr>
        <w:pStyle w:val="Compact"/>
      </w:pPr>
      <w:r>
        <w:t xml:space="preserve">Calibration of testing equipment.</w:t>
      </w:r>
    </w:p>
    <w:p>
      <w:pPr>
        <w:numPr>
          <w:ilvl w:val="0"/>
          <w:numId w:val="1001"/>
        </w:numPr>
        <w:pStyle w:val="Compact"/>
      </w:pPr>
      <w:r>
        <w:t xml:space="preserve">Execution of mechanical and thermal tests.</w:t>
      </w:r>
    </w:p>
    <w:p>
      <w:pPr>
        <w:numPr>
          <w:ilvl w:val="0"/>
          <w:numId w:val="1001"/>
        </w:numPr>
        <w:pStyle w:val="Compact"/>
      </w:pPr>
      <w:r>
        <w:t xml:space="preserve">Data collection and preliminary analysis.</w:t>
      </w:r>
    </w:p>
    <w:p>
      <w:pPr>
        <w:numPr>
          <w:ilvl w:val="0"/>
          <w:numId w:val="1001"/>
        </w:numPr>
        <w:pStyle w:val="Compact"/>
      </w:pPr>
      <w:r>
        <w:t xml:space="preserve">Documentation of results in accordance with Canadian engineering standards.</w:t>
      </w:r>
    </w:p>
    <w:bookmarkEnd w:id="22"/>
    <w:bookmarkStart w:id="23" w:name="materials-and-equipment"/>
    <w:p>
      <w:pPr>
        <w:pStyle w:val="Heading2"/>
      </w:pPr>
      <w:r>
        <w:t xml:space="preserve">3. Materials and Equipment</w:t>
      </w:r>
    </w:p>
    <w:p>
      <w:pPr>
        <w:pStyle w:val="FirstParagraph"/>
      </w:pPr>
      <w:r>
        <w:t xml:space="preserve">The following materials and equipment will be utilized for this experiment:</w:t>
      </w:r>
    </w:p>
    <w:p>
      <w:pPr>
        <w:numPr>
          <w:ilvl w:val="0"/>
          <w:numId w:val="1002"/>
        </w:numPr>
        <w:pStyle w:val="Compact"/>
      </w:pPr>
      <w:r>
        <w:rPr>
          <w:bCs/>
          <w:b/>
        </w:rPr>
        <w:t xml:space="preserve">Test Samples:</w:t>
      </w:r>
      <w:r>
        <w:t xml:space="preserve"> </w:t>
      </w:r>
      <w:r>
        <w:t xml:space="preserve">50 units of carbon-fiber reinforced polymer (CFRP) composites, manufactured according to ASTM D3039 standards.</w:t>
      </w:r>
    </w:p>
    <w:p>
      <w:pPr>
        <w:numPr>
          <w:ilvl w:val="0"/>
          <w:numId w:val="1002"/>
        </w:numPr>
        <w:pStyle w:val="Compact"/>
      </w:pPr>
      <w:r>
        <w:rPr>
          <w:bCs/>
          <w:b/>
        </w:rPr>
        <w:t xml:space="preserve">Universal Testing Machine (UTM):</w:t>
      </w:r>
      <w:r>
        <w:t xml:space="preserve"> </w:t>
      </w:r>
      <w:r>
        <w:t xml:space="preserve">Capable of applying tensile and compressive loads up to 100 kN.</w:t>
      </w:r>
    </w:p>
    <w:p>
      <w:pPr>
        <w:numPr>
          <w:ilvl w:val="0"/>
          <w:numId w:val="1002"/>
        </w:numPr>
        <w:pStyle w:val="Compact"/>
      </w:pPr>
      <w:r>
        <w:rPr>
          <w:bCs/>
          <w:b/>
        </w:rPr>
        <w:t xml:space="preserve">Environmental Chamber:</w:t>
      </w:r>
      <w:r>
        <w:t xml:space="preserve"> </w:t>
      </w:r>
      <w:r>
        <w:t xml:space="preserve">Programmable chamber capable of maintaining temperatures between -40°C and +60°C with a humidity control range of 10% to 95% RH.</w:t>
      </w:r>
    </w:p>
    <w:p>
      <w:pPr>
        <w:numPr>
          <w:ilvl w:val="0"/>
          <w:numId w:val="1002"/>
        </w:numPr>
        <w:pStyle w:val="Compact"/>
      </w:pPr>
      <w:r>
        <w:rPr>
          <w:bCs/>
          <w:b/>
        </w:rPr>
        <w:t xml:space="preserve">Strain Gauges:</w:t>
      </w:r>
      <w:r>
        <w:t xml:space="preserve"> </w:t>
      </w:r>
      <w:r>
        <w:t xml:space="preserve">High-precision rosette strain gauges for measuring deformation.</w:t>
      </w:r>
    </w:p>
    <w:p>
      <w:pPr>
        <w:numPr>
          <w:ilvl w:val="0"/>
          <w:numId w:val="1002"/>
        </w:numPr>
        <w:pStyle w:val="Compact"/>
      </w:pPr>
      <w:r>
        <w:rPr>
          <w:bCs/>
          <w:b/>
        </w:rPr>
        <w:t xml:space="preserve">Data Acquisition System:</w:t>
      </w:r>
      <w:r>
        <w:t xml:space="preserve"> </w:t>
      </w:r>
      <w:r>
        <w:t xml:space="preserve">Real-time monitoring software compliant with CSA Z462 electrical safety standards.</w:t>
      </w:r>
    </w:p>
    <w:bookmarkEnd w:id="23"/>
    <w:bookmarkStart w:id="28" w:name="experimental-procedure"/>
    <w:p>
      <w:pPr>
        <w:pStyle w:val="Heading2"/>
      </w:pPr>
      <w:r>
        <w:t xml:space="preserve">4. Experimental Procedure</w:t>
      </w:r>
    </w:p>
    <w:bookmarkStart w:id="24" w:name="sample-preparation"/>
    <w:p>
      <w:pPr>
        <w:pStyle w:val="Heading3"/>
      </w:pPr>
      <w:r>
        <w:t xml:space="preserve">4.1 Sample Preparation</w:t>
      </w:r>
    </w:p>
    <w:p>
      <w:pPr>
        <w:pStyle w:val="FirstParagraph"/>
      </w:pPr>
      <w:r>
        <w:t xml:space="preserve">Each Mechanical Engineer involved in sample preparation must ensure that all CFRP samples are cut to dimensions of 250mm x 25mm x 3mm. Samples must be labeled uniquely to track their testing history. Surface preparation involves light sanding to ensure proper adhesion of strain gauges. All samples must be stored in a controlled environment at 23°C ± 2°C for at least 24 hours prior to testing to stabilize moisture content.</w:t>
      </w:r>
    </w:p>
    <w:bookmarkEnd w:id="24"/>
    <w:bookmarkStart w:id="25" w:name="equipment-calibration"/>
    <w:p>
      <w:pPr>
        <w:pStyle w:val="Heading3"/>
      </w:pPr>
      <w:r>
        <w:t xml:space="preserve">4.2 Equipment Calibration</w:t>
      </w:r>
    </w:p>
    <w:p>
      <w:pPr>
        <w:pStyle w:val="FirstParagraph"/>
      </w:pPr>
      <w:r>
        <w:t xml:space="preserve">Before commencing any tests, the Universal Testing Machine and Environmental Chamber must be calibrated. The Mechanical Engineer responsible for calibration must verify that the load cells are within ±0.5% accuracy and that the temperature sensors are within ±0.1°C of the setpoint. Calibration records must be logged and signed off by the Lead Mechanical Engineer.</w:t>
      </w:r>
    </w:p>
    <w:bookmarkEnd w:id="25"/>
    <w:bookmarkStart w:id="26" w:name="mechanical-testing"/>
    <w:p>
      <w:pPr>
        <w:pStyle w:val="Heading3"/>
      </w:pPr>
      <w:r>
        <w:t xml:space="preserve">4.3 Mechanical Testing</w:t>
      </w:r>
    </w:p>
    <w:p>
      <w:pPr>
        <w:pStyle w:val="FirstParagraph"/>
      </w:pPr>
      <w:r>
        <w:t xml:space="preserve">Tensile tests will be conducted at a crosshead speed of 2 mm/min until failure. Strain data will be recorded at a frequency of 100 Hz. Each sample will be tested at room temperature (23°C) to establish baseline mechanical properties. The Mechanical Engineer must monitor the test for any anomalies, such as premature failure or equipment malfunction, and document any deviations from the expected behavior.</w:t>
      </w:r>
    </w:p>
    <w:bookmarkEnd w:id="26"/>
    <w:bookmarkStart w:id="27" w:name="thermal-and-cyclic-loading-tests"/>
    <w:p>
      <w:pPr>
        <w:pStyle w:val="Heading3"/>
      </w:pPr>
      <w:r>
        <w:t xml:space="preserve">4.4 Thermal and Cyclic Loading Tests</w:t>
      </w:r>
    </w:p>
    <w:p>
      <w:pPr>
        <w:pStyle w:val="FirstParagraph"/>
      </w:pPr>
      <w:r>
        <w:t xml:space="preserve">Following the baseline tests, samples will be subjected to thermal cycling within the Environmental Chamber. The temperature will be cycled between -30°C and +35°C over a 24-hour period, simulating the seasonal extremes experienced in Canada Toronto. Simultaneously, cyclic mechanical loading will be applied at 50% of the ultimate tensile strength. The Mechanical Engineer must ensure that the data acquisition system is functioning correctly throughout the test and that all safety interlocks are engaged.</w:t>
      </w:r>
    </w:p>
    <w:bookmarkEnd w:id="27"/>
    <w:bookmarkEnd w:id="28"/>
    <w:bookmarkStart w:id="29" w:name="safety-considerations"/>
    <w:p>
      <w:pPr>
        <w:pStyle w:val="Heading2"/>
      </w:pPr>
      <w:r>
        <w:t xml:space="preserve">5. Safety Considerations</w:t>
      </w:r>
    </w:p>
    <w:p>
      <w:pPr>
        <w:pStyle w:val="FirstParagraph"/>
      </w:pPr>
      <w:r>
        <w:t xml:space="preserve">Safety is paramount in this experiment. All Mechanical Engineers and personnel must wear appropriate personal protective equipment (PPE), including safety glasses, gloves, and steel-toed boots. The Environmental Chamber must be inspected for leaks and electrical faults before each use. In the event of an emergency, personnel must follow the evacuation procedures specific to the laboratory facility in Canada Toronto. All incidents and near-misses must be reported to the Lead Mechanical Engineer immediately.</w:t>
      </w:r>
    </w:p>
    <w:bookmarkEnd w:id="29"/>
    <w:bookmarkStart w:id="30" w:name="data-analysis-and-reporting"/>
    <w:p>
      <w:pPr>
        <w:pStyle w:val="Heading2"/>
      </w:pPr>
      <w:r>
        <w:t xml:space="preserve">6. Data Analysis and Reporting</w:t>
      </w:r>
    </w:p>
    <w:p>
      <w:pPr>
        <w:pStyle w:val="FirstParagraph"/>
      </w:pPr>
      <w:r>
        <w:t xml:space="preserve">Upon completion of the tests, the Mechanical Engineer will analyze the collected data to determine the stress-strain curves, fatigue life, and thermal expansion coefficients of the composite materials. Statistical methods will be employed to assess the variability in the results. A comprehensive report will be prepared, detailing the experimental setup, procedures, results, and conclusions. The report must comply with the formatting and content requirements of the Professional Engineers Ontario (PEO) guidelines.</w:t>
      </w:r>
    </w:p>
    <w:bookmarkEnd w:id="30"/>
    <w:bookmarkStart w:id="31" w:name="conclusion"/>
    <w:p>
      <w:pPr>
        <w:pStyle w:val="Heading2"/>
      </w:pPr>
      <w:r>
        <w:t xml:space="preserve">7. Conclusion</w:t>
      </w:r>
    </w:p>
    <w:p>
      <w:pPr>
        <w:pStyle w:val="FirstParagraph"/>
      </w:pPr>
      <w:r>
        <w:t xml:space="preserve">This Experiment Protocol provides a detailed framework for the Mechanical Engineer team to conduct rigorous testing of advanced composite materials in Canada Toronto. By adhering to this protocol, the team ensures that the experimental results are reliable, reproducible, and applicable to the design of resilient urban infrastructure. The insights gained from this study will contribute to the advancement of mechanical engineering practices in Canada Toronto and beyond.</w:t>
      </w:r>
    </w:p>
    <w:bookmarkEnd w:id="31"/>
    <w:p>
      <w:pPr>
        <w:pStyle w:val="BodyText"/>
      </w:pPr>
      <w:r>
        <w:rPr>
          <w:bCs/>
          <w:b/>
        </w:rPr>
        <w:t xml:space="preserve">Approved By:</w:t>
      </w:r>
    </w:p>
    <w:p>
      <w:pPr>
        <w:pStyle w:val="BodyText"/>
      </w:pPr>
      <w:r>
        <w:t xml:space="preserve">__________________________</w:t>
      </w:r>
    </w:p>
    <w:p>
      <w:pPr>
        <w:pStyle w:val="BodyText"/>
      </w:pPr>
      <w:r>
        <w:t xml:space="preserve">Lead Mechanical Engineer</w:t>
      </w:r>
    </w:p>
    <w:p>
      <w:pPr>
        <w:pStyle w:val="BodyText"/>
      </w:pPr>
      <w:r>
        <w:t xml:space="preserve">Professional Engineers Ontario (PEO) License No.: 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Canada Toronto</dc:title>
  <dc:creator/>
  <dc:language>en</dc:language>
  <cp:keywords/>
  <dcterms:created xsi:type="dcterms:W3CDTF">2026-10-10T06:08:58Z</dcterms:created>
  <dcterms:modified xsi:type="dcterms:W3CDTF">2026-10-10T06:08:58Z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