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Engineering</w:t>
      </w:r>
      <w:r>
        <w:t xml:space="preserve"> </w:t>
      </w:r>
      <w:r>
        <w:t xml:space="preserve">Validation</w:t>
      </w:r>
      <w:r>
        <w:t xml:space="preserve"> </w:t>
      </w:r>
      <w:r>
        <w:t xml:space="preserve">in</w:t>
      </w:r>
      <w:r>
        <w:t xml:space="preserve"> </w:t>
      </w:r>
      <w:r>
        <w:t xml:space="preserve">Berlin</w:t>
      </w:r>
    </w:p>
    <w:bookmarkStart w:id="20" w:name="Xdea93269dde852a4123cbb081c3930388ed6bd2"/>
    <w:p>
      <w:pPr>
        <w:pStyle w:val="Heading1"/>
      </w:pPr>
      <w:r>
        <w:t xml:space="preserve">Experiment Protocol: Structural Integrity and Thermal Performance Analysis</w:t>
      </w:r>
    </w:p>
    <w:p>
      <w:pPr>
        <w:pStyle w:val="FirstParagraph"/>
      </w:pPr>
      <w:r>
        <w:rPr>
          <w:bCs/>
          <w:b/>
        </w:rPr>
        <w:t xml:space="preserve">Location:</w:t>
      </w:r>
      <w:r>
        <w:t xml:space="preserve"> </w:t>
      </w:r>
      <w:r>
        <w:t xml:space="preserve">Berlin, Germany</w:t>
      </w:r>
    </w:p>
    <w:p>
      <w:pPr>
        <w:pStyle w:val="BodyText"/>
      </w:pPr>
      <w:r>
        <w:rPr>
          <w:bCs/>
          <w:b/>
        </w:rPr>
        <w:t xml:space="preserve">Discipline:</w:t>
      </w:r>
      <w:r>
        <w:t xml:space="preserve"> </w:t>
      </w:r>
      <w:r>
        <w:t xml:space="preserve">Mechanical Engineering</w:t>
      </w:r>
    </w:p>
    <w:p>
      <w:pPr>
        <w:pStyle w:val="BodyText"/>
      </w:pPr>
      <w:r>
        <w:rPr>
          <w:bCs/>
          <w:b/>
        </w:rPr>
        <w:t xml:space="preserve">Protocol ID:</w:t>
      </w:r>
      <w:r>
        <w:t xml:space="preserve"> </w:t>
      </w:r>
      <w:r>
        <w:t xml:space="preserve">ME-BER-2023-045</w:t>
      </w:r>
    </w:p>
    <w:p>
      <w:pPr>
        <w:pStyle w:val="BodyText"/>
      </w:pPr>
      <w:r>
        <w:rPr>
          <w:bCs/>
          <w:b/>
        </w:rPr>
        <w:t xml:space="preserve">Date:</w:t>
      </w:r>
      <w:r>
        <w:t xml:space="preserve"> </w:t>
      </w:r>
      <w:r>
        <w:t xml:space="preserve">October 24, 2023</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conducting mechanical stress and thermal performance tests on advanced composite materials intended for automotive applications. As a Mechanical Engineer operating within the rigorous industrial landscape of Germany Berlin, adherence to precise methodological standards is paramount. The primary objective of this experiment is to validate the fatigue resistance and thermal conductivity of a newly developed carbon-fiber-reinforced polymer (CFRP) component under simulated operational conditions.</w:t>
      </w:r>
    </w:p>
    <w:p>
      <w:pPr>
        <w:pStyle w:val="BodyText"/>
      </w:pPr>
      <w:r>
        <w:t xml:space="preserve">Berlin has emerged as a significant hub for automotive innovation and sustainable engineering. Consequently, this protocol is designed to meet the high expectations of local industry stakeholders and regulatory bodies. The data generated from this experiment will contribute to the optimization of lightweight vehicle structures, aligning with Germany's broader goals for energy efficiency and environmental sustainability in the transportation sector.</w:t>
      </w:r>
    </w:p>
    <w:bookmarkEnd w:id="21"/>
    <w:bookmarkStart w:id="22" w:name="regulatory-compliance-and-standards"/>
    <w:p>
      <w:pPr>
        <w:pStyle w:val="Heading2"/>
      </w:pPr>
      <w:r>
        <w:t xml:space="preserve">2. Regulatory Compliance and Standards</w:t>
      </w:r>
    </w:p>
    <w:p>
      <w:pPr>
        <w:pStyle w:val="FirstParagraph"/>
      </w:pPr>
      <w:r>
        <w:t xml:space="preserve">All experimental procedures must strictly comply with relevant German and European standards. As a Mechanical Engineer in Germany Berlin, it is imperative to ensure that all testing protocols align with DIN (Deutsches Institut für Normung) and ISO (International Organization for Standardization) guidelines. Specifically, this experiment will adhere to the following standards:</w:t>
      </w:r>
    </w:p>
    <w:p>
      <w:pPr>
        <w:numPr>
          <w:ilvl w:val="0"/>
          <w:numId w:val="1001"/>
        </w:numPr>
        <w:pStyle w:val="Compact"/>
      </w:pPr>
      <w:r>
        <w:rPr>
          <w:bCs/>
          <w:b/>
        </w:rPr>
        <w:t xml:space="preserve">DIN EN ISO 12107:</w:t>
      </w:r>
      <w:r>
        <w:t xml:space="preserve"> </w:t>
      </w:r>
      <w:r>
        <w:t xml:space="preserve">Metallic materials — Fatigue testing — Statistical planning and analysis of test results.</w:t>
      </w:r>
    </w:p>
    <w:p>
      <w:pPr>
        <w:numPr>
          <w:ilvl w:val="0"/>
          <w:numId w:val="1001"/>
        </w:numPr>
        <w:pStyle w:val="Compact"/>
      </w:pPr>
      <w:r>
        <w:rPr>
          <w:bCs/>
          <w:b/>
        </w:rPr>
        <w:t xml:space="preserve">DIN EN ISO 8501-1:</w:t>
      </w:r>
      <w:r>
        <w:t xml:space="preserve"> </w:t>
      </w:r>
      <w:r>
        <w:t xml:space="preserve">Preparation of steel substrates before application of paints and related products.</w:t>
      </w:r>
    </w:p>
    <w:p>
      <w:pPr>
        <w:numPr>
          <w:ilvl w:val="0"/>
          <w:numId w:val="1001"/>
        </w:numPr>
        <w:pStyle w:val="Compact"/>
      </w:pPr>
      <w:r>
        <w:rPr>
          <w:bCs/>
          <w:b/>
        </w:rPr>
        <w:t xml:space="preserve">DIN 50011:</w:t>
      </w:r>
      <w:r>
        <w:t xml:space="preserve"> </w:t>
      </w:r>
      <w:r>
        <w:t xml:space="preserve">Thermal insulation — Building components — Determination of thermal resistance and thermal transmittance.</w:t>
      </w:r>
    </w:p>
    <w:p>
      <w:pPr>
        <w:pStyle w:val="FirstParagraph"/>
      </w:pPr>
      <w:r>
        <w:t xml:space="preserve">Furthermore, all safety protocols must comply with the German Occupational Safety and Health Act (ArbSchG) and the Berlin-specific regulations for laboratory safety. This ensures a safe working environment for all personnel involved in the experiment.</w:t>
      </w:r>
    </w:p>
    <w:bookmarkEnd w:id="22"/>
    <w:bookmarkStart w:id="23" w:name="experimental-setup-and-equipment"/>
    <w:p>
      <w:pPr>
        <w:pStyle w:val="Heading2"/>
      </w:pPr>
      <w:r>
        <w:t xml:space="preserve">3. Experimental Setup and Equipment</w:t>
      </w:r>
    </w:p>
    <w:p>
      <w:pPr>
        <w:pStyle w:val="FirstParagraph"/>
      </w:pPr>
      <w:r>
        <w:t xml:space="preserve">The experiment will be conducted in a certified mechanical testing laboratory located in Berlin. The following equipment will be utilized to ensure accurate and reliable data collection: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Equipment</w:t>
            </w:r>
          </w:p>
        </w:tc>
        <w:tc>
          <w:tcPr/>
          <w:p>
            <w:pPr>
              <w:pStyle w:val="Compact"/>
              <w:jc w:val="left"/>
            </w:pPr>
            <w:r>
              <w:t xml:space="preserve">Model/Specification</w:t>
            </w:r>
          </w:p>
        </w:tc>
        <w:tc>
          <w:tcPr/>
          <w:p>
            <w:pPr>
              <w:pStyle w:val="Compact"/>
              <w:jc w:val="left"/>
            </w:pPr>
            <w:r>
              <w:t xml:space="preserve">Purpose</w:t>
            </w:r>
          </w:p>
        </w:tc>
      </w:tr>
      <w:tr>
        <w:tc>
          <w:tcPr/>
          <w:p>
            <w:pPr>
              <w:pStyle w:val="Compact"/>
              <w:jc w:val="left"/>
            </w:pPr>
            <w:r>
              <w:t xml:space="preserve">Universal Testing Machine</w:t>
            </w:r>
          </w:p>
        </w:tc>
        <w:tc>
          <w:tcPr/>
          <w:p>
            <w:pPr>
              <w:pStyle w:val="Compact"/>
              <w:jc w:val="left"/>
            </w:pPr>
            <w:r>
              <w:t xml:space="preserve">ZwickRoell Z020</w:t>
            </w:r>
          </w:p>
        </w:tc>
        <w:tc>
          <w:tcPr/>
          <w:p>
            <w:pPr>
              <w:pStyle w:val="Compact"/>
              <w:jc w:val="left"/>
            </w:pPr>
            <w:r>
              <w:t xml:space="preserve">Apply controlled tensile and compressive loads</w:t>
            </w:r>
          </w:p>
        </w:tc>
      </w:tr>
      <w:tr>
        <w:tc>
          <w:tcPr/>
          <w:p>
            <w:pPr>
              <w:pStyle w:val="Compact"/>
              <w:jc w:val="left"/>
            </w:pPr>
            <w:r>
              <w:t xml:space="preserve">Thermal Chamber</w:t>
            </w:r>
          </w:p>
        </w:tc>
        <w:tc>
          <w:tcPr/>
          <w:p>
            <w:pPr>
              <w:pStyle w:val="Compact"/>
              <w:jc w:val="left"/>
            </w:pPr>
            <w:r>
              <w:t xml:space="preserve">ESPEC PL-300</w:t>
            </w:r>
          </w:p>
        </w:tc>
        <w:tc>
          <w:tcPr/>
          <w:p>
            <w:pPr>
              <w:pStyle w:val="Compact"/>
              <w:jc w:val="left"/>
            </w:pPr>
            <w:r>
              <w:t xml:space="preserve">Simulate extreme temperature conditions</w:t>
            </w:r>
          </w:p>
        </w:tc>
      </w:tr>
      <w:tr>
        <w:tc>
          <w:tcPr/>
          <w:p>
            <w:pPr>
              <w:pStyle w:val="Compact"/>
              <w:jc w:val="left"/>
            </w:pPr>
            <w:r>
              <w:t xml:space="preserve">Data Acquisition System</w:t>
            </w:r>
          </w:p>
        </w:tc>
        <w:tc>
          <w:tcPr/>
          <w:p>
            <w:pPr>
              <w:pStyle w:val="Compact"/>
              <w:jc w:val="left"/>
            </w:pPr>
            <w:r>
              <w:t xml:space="preserve">National Instruments PXIe-1085</w:t>
            </w:r>
          </w:p>
        </w:tc>
        <w:tc>
          <w:tcPr/>
          <w:p>
            <w:pPr>
              <w:pStyle w:val="Compact"/>
              <w:jc w:val="left"/>
            </w:pPr>
            <w:r>
              <w:t xml:space="preserve">Record real-time stress and strain data</w:t>
            </w:r>
          </w:p>
        </w:tc>
      </w:tr>
      <w:tr>
        <w:tc>
          <w:tcPr/>
          <w:p>
            <w:pPr>
              <w:pStyle w:val="Compact"/>
              <w:jc w:val="left"/>
            </w:pPr>
            <w:r>
              <w:t xml:space="preserve">Strain Gauges</w:t>
            </w:r>
          </w:p>
        </w:tc>
        <w:tc>
          <w:tcPr/>
          <w:p>
            <w:pPr>
              <w:pStyle w:val="Compact"/>
              <w:jc w:val="left"/>
            </w:pPr>
            <w:r>
              <w:t xml:space="preserve">HBM K-FW-3-125</w:t>
            </w:r>
          </w:p>
        </w:tc>
        <w:tc>
          <w:tcPr/>
          <w:p>
            <w:pPr>
              <w:pStyle w:val="Compact"/>
              <w:jc w:val="left"/>
            </w:pPr>
            <w:r>
              <w:t xml:space="preserve">Measure deformation under load</w:t>
            </w:r>
          </w:p>
        </w:tc>
      </w:tr>
    </w:tbl>
    <w:p>
      <w:pPr>
        <w:pStyle w:val="BodyText"/>
      </w:pPr>
      <w:r>
        <w:t xml:space="preserve">All equipment must be calibrated according to DIN EN ISO 17025 standards prior to the commencement of the experiment. Calibration certificates must be available for review to ensure the integrity of the testing process.</w:t>
      </w:r>
    </w:p>
    <w:bookmarkEnd w:id="23"/>
    <w:bookmarkStart w:id="27" w:name="methodology"/>
    <w:p>
      <w:pPr>
        <w:pStyle w:val="Heading2"/>
      </w:pPr>
      <w:r>
        <w:t xml:space="preserve">4. Methodology</w:t>
      </w:r>
    </w:p>
    <w:p>
      <w:pPr>
        <w:pStyle w:val="FirstParagraph"/>
      </w:pPr>
      <w:r>
        <w:t xml:space="preserve">The experiment will be conducted in three distinct phases, each designed to evaluate specific mechanical and thermal properties of the CFRP component.</w:t>
      </w:r>
    </w:p>
    <w:bookmarkStart w:id="24" w:name="phase-1-material-preparation"/>
    <w:p>
      <w:pPr>
        <w:pStyle w:val="Heading3"/>
      </w:pPr>
      <w:r>
        <w:t xml:space="preserve">4.1 Phase 1: Material Preparation</w:t>
      </w:r>
    </w:p>
    <w:p>
      <w:pPr>
        <w:pStyle w:val="FirstParagraph"/>
      </w:pPr>
      <w:r>
        <w:t xml:space="preserve">Specimens will be cut from the CFRP panel using a water-cooled diamond saw to minimize thermal damage. Each specimen will be labeled and stored in a controlled environment to prevent moisture absorption, which could affect the test results.</w:t>
      </w:r>
    </w:p>
    <w:bookmarkEnd w:id="24"/>
    <w:bookmarkStart w:id="25" w:name="phase-2-mechanical-stress-testing"/>
    <w:p>
      <w:pPr>
        <w:pStyle w:val="Heading3"/>
      </w:pPr>
      <w:r>
        <w:t xml:space="preserve">4.2 Phase 2: Mechanical Stress Testing</w:t>
      </w:r>
    </w:p>
    <w:p>
      <w:pPr>
        <w:pStyle w:val="FirstParagraph"/>
      </w:pPr>
      <w:r>
        <w:t xml:space="preserve">Specimens will be subjected to cyclic loading to simulate real-world operational conditions. The loading frequency will be set at 5 Hz, with a maximum load of 80% of the material's ultimate tensile strength. The test will continue until failure or a predetermined number of cycles is reached.</w:t>
      </w:r>
    </w:p>
    <w:bookmarkEnd w:id="25"/>
    <w:bookmarkStart w:id="26" w:name="phase-3-thermal-performance-testing"/>
    <w:p>
      <w:pPr>
        <w:pStyle w:val="Heading3"/>
      </w:pPr>
      <w:r>
        <w:t xml:space="preserve">4.3 Phase 3: Thermal Performance Testing</w:t>
      </w:r>
    </w:p>
    <w:p>
      <w:pPr>
        <w:pStyle w:val="FirstParagraph"/>
      </w:pPr>
      <w:r>
        <w:t xml:space="preserve">Following the mechanical stress tests, specimens will be placed in the thermal chamber. The temperature will be cycled between -40°C and 120°C to evaluate the material's thermal stability and conductivity. Data will be collected at regular intervals to monitor any changes in material properties.</w:t>
      </w:r>
    </w:p>
    <w:bookmarkEnd w:id="26"/>
    <w:bookmarkEnd w:id="27"/>
    <w:bookmarkStart w:id="28" w:name="data-collection-and-analysis"/>
    <w:p>
      <w:pPr>
        <w:pStyle w:val="Heading2"/>
      </w:pPr>
      <w:r>
        <w:t xml:space="preserve">5. Data Collection and Analysis</w:t>
      </w:r>
    </w:p>
    <w:p>
      <w:pPr>
        <w:pStyle w:val="FirstParagraph"/>
      </w:pPr>
      <w:r>
        <w:t xml:space="preserve">Data will be collected using the National Instruments PXIe-1085 data acquisition system. The following parameters will be recorded:</w:t>
      </w:r>
    </w:p>
    <w:p>
      <w:pPr>
        <w:numPr>
          <w:ilvl w:val="0"/>
          <w:numId w:val="1002"/>
        </w:numPr>
        <w:pStyle w:val="Compact"/>
      </w:pPr>
      <w:r>
        <w:t xml:space="preserve">Applied load and displacement</w:t>
      </w:r>
    </w:p>
    <w:p>
      <w:pPr>
        <w:numPr>
          <w:ilvl w:val="0"/>
          <w:numId w:val="1002"/>
        </w:numPr>
        <w:pStyle w:val="Compact"/>
      </w:pPr>
      <w:r>
        <w:t xml:space="preserve">Strain measurements from strain gauges</w:t>
      </w:r>
    </w:p>
    <w:p>
      <w:pPr>
        <w:numPr>
          <w:ilvl w:val="0"/>
          <w:numId w:val="1002"/>
        </w:numPr>
        <w:pStyle w:val="Compact"/>
      </w:pPr>
      <w:r>
        <w:t xml:space="preserve">Temperature readings from thermocouples</w:t>
      </w:r>
    </w:p>
    <w:p>
      <w:pPr>
        <w:numPr>
          <w:ilvl w:val="0"/>
          <w:numId w:val="1002"/>
        </w:numPr>
        <w:pStyle w:val="Compact"/>
      </w:pPr>
      <w:r>
        <w:t xml:space="preserve">Time to failure (if applicable)</w:t>
      </w:r>
    </w:p>
    <w:p>
      <w:pPr>
        <w:pStyle w:val="FirstParagraph"/>
      </w:pPr>
      <w:r>
        <w:t xml:space="preserve">Data analysis will be performed using specialized software to generate stress-strain curves and thermal conductivity profiles. Statistical methods will be employed to determine the mean, standard deviation, and confidence intervals for each parameter. This rigorous analysis ensures that the results are reliable and can be used to make informed engineering decisions.</w:t>
      </w:r>
    </w:p>
    <w:bookmarkEnd w:id="28"/>
    <w:bookmarkStart w:id="29" w:name="safety-considerations"/>
    <w:p>
      <w:pPr>
        <w:pStyle w:val="Heading2"/>
      </w:pPr>
      <w:r>
        <w:t xml:space="preserve">6. Safety Considerations</w:t>
      </w:r>
    </w:p>
    <w:p>
      <w:pPr>
        <w:pStyle w:val="FirstParagraph"/>
      </w:pPr>
      <w:r>
        <w:t xml:space="preserve">Safety is a top priority in this experiment. All personnel must wear appropriate personal protective equipment (PPE), including safety glasses, gloves, and lab coats. The testing area will be clearly marked, and only authorized personnel will be allowed access during the experiment. Emergency procedures, including the location of fire extinguishers and first aid kits, will be reviewed with all participants prior to the start of the experiment.</w:t>
      </w:r>
    </w:p>
    <w:bookmarkEnd w:id="29"/>
    <w:bookmarkStart w:id="30" w:name="conclusion"/>
    <w:p>
      <w:pPr>
        <w:pStyle w:val="Heading2"/>
      </w:pPr>
      <w:r>
        <w:t xml:space="preserve">7. Conclusion</w:t>
      </w:r>
    </w:p>
    <w:p>
      <w:pPr>
        <w:pStyle w:val="FirstParagraph"/>
      </w:pPr>
      <w:r>
        <w:t xml:space="preserve">This Experiment Protocol provides a comprehensive framework for conducting mechanical and thermal performance tests on CFRP components. By adhering to the outlined procedures and standards, the Mechanical Engineer in Germany Berlin can ensure that the experiment yields accurate and reliable data. This data will be instrumental in advancing the development of lightweight, high-performance materials for the automotive industry, contributing to the broader goals of sustainability and innovation in Berlin's engineering sector.</w:t>
      </w:r>
    </w:p>
    <w:bookmarkEnd w:id="30"/>
    <w:p>
      <w:pPr>
        <w:pStyle w:val="BodyText"/>
      </w:pPr>
      <w:r>
        <w:rPr>
          <w:bCs/>
          <w:b/>
        </w:rPr>
        <w:t xml:space="preserve">Prepared by:</w:t>
      </w:r>
    </w:p>
    <w:p>
      <w:pPr>
        <w:pStyle w:val="BodyText"/>
      </w:pPr>
      <w:r>
        <w:t xml:space="preserve">__________________________</w:t>
      </w:r>
    </w:p>
    <w:p>
      <w:pPr>
        <w:pStyle w:val="BodyText"/>
      </w:pPr>
      <w:r>
        <w:t xml:space="preserve">Mechanical Engineer</w:t>
      </w:r>
    </w:p>
    <w:p>
      <w:pPr>
        <w:pStyle w:val="BodyText"/>
      </w:pPr>
      <w:r>
        <w:rPr>
          <w:bCs/>
          <w:b/>
        </w:rPr>
        <w:t xml:space="preserve">Approved by:</w:t>
      </w:r>
    </w:p>
    <w:p>
      <w:pPr>
        <w:pStyle w:val="BodyText"/>
      </w:pPr>
      <w:r>
        <w:t xml:space="preserve">__________________________</w:t>
      </w:r>
    </w:p>
    <w:p>
      <w:pPr>
        <w:pStyle w:val="BodyText"/>
      </w:pPr>
      <w:r>
        <w:t xml:space="preserve">Project Manager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Engineering Validation in Berlin</dc:title>
  <dc:creator/>
  <dc:language>en</dc:language>
  <cp:keywords/>
  <dcterms:created xsi:type="dcterms:W3CDTF">2026-10-10T01:00:39Z</dcterms:created>
  <dcterms:modified xsi:type="dcterms:W3CDTF">2026-10-10T01:00:39Z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