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Validation</w:t>
      </w:r>
      <w:r>
        <w:t xml:space="preserve"> </w:t>
      </w:r>
      <w:r>
        <w:t xml:space="preserve">in</w:t>
      </w:r>
      <w:r>
        <w:t xml:space="preserve"> </w:t>
      </w:r>
      <w:r>
        <w:t xml:space="preserve">Munich,</w:t>
      </w:r>
      <w:r>
        <w:t xml:space="preserve"> </w:t>
      </w:r>
      <w:r>
        <w:t xml:space="preserve">Germany</w:t>
      </w:r>
    </w:p>
    <w:bookmarkStart w:id="20" w:name="Xd254e6351637015d7a59e311ec9b39d0eac35a4"/>
    <w:p>
      <w:pPr>
        <w:pStyle w:val="Heading1"/>
      </w:pPr>
      <w:r>
        <w:t xml:space="preserve">Experiment Protocol: High-Precision Component Fatigue Testing</w:t>
      </w:r>
    </w:p>
    <w:p>
      <w:pPr>
        <w:pStyle w:val="FirstParagraph"/>
      </w:pPr>
      <w:r>
        <w:rPr>
          <w:bCs/>
          <w:b/>
        </w:rPr>
        <w:t xml:space="preserve">Location:</w:t>
      </w:r>
      <w:r>
        <w:t xml:space="preserve"> </w:t>
      </w:r>
      <w:r>
        <w:t xml:space="preserve">Technical Research Facility, Munich, Germany</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ME-MUC-2023-045</w:t>
      </w:r>
    </w:p>
    <w:p>
      <w:pPr>
        <w:pStyle w:val="BodyText"/>
      </w:pPr>
      <w:r>
        <w:rPr>
          <w:bCs/>
          <w:b/>
        </w:rPr>
        <w:t xml:space="preserve">Date of Issue: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fatigue testing on high-strength aluminum alloy components intended for the automotive and aerospace sectors. As a hub of innovation in the European Union, Munich, Germany, hosts numerous leading mechanical engineering firms and research institutions. Consequently, this protocol is designed to meet the rigorous standards expected within the German industrial landscape, ensuring compliance with both local regulations and international norms.</w:t>
      </w:r>
    </w:p>
    <w:p>
      <w:pPr>
        <w:pStyle w:val="BodyText"/>
      </w:pPr>
      <w:r>
        <w:t xml:space="preserve">The primary objective is to determine the endurance limit of the specified alloy under cyclic loading conditions. The Mechanical Engineer responsible for this experiment must ensure that all testing parameters are meticulously controlled to produce reproducible and accurate data. This document serves as the authoritative guide for the experimental setup, execution, and data analysis phases.</w:t>
      </w:r>
    </w:p>
    <w:bookmarkEnd w:id="21"/>
    <w:bookmarkStart w:id="22" w:name="regulatory-compliance-and-standards"/>
    <w:p>
      <w:pPr>
        <w:pStyle w:val="Heading2"/>
      </w:pPr>
      <w:r>
        <w:t xml:space="preserve">2. Regulatory Compliance and Standards</w:t>
      </w:r>
    </w:p>
    <w:p>
      <w:pPr>
        <w:pStyle w:val="FirstParagraph"/>
      </w:pPr>
      <w:r>
        <w:t xml:space="preserve">Given the location in Munich, Germany, this experiment must adhere to specific regulatory frameworks. The Mechanical Engineer is required to ensure compliance with the following standards:</w:t>
      </w:r>
    </w:p>
    <w:p>
      <w:pPr>
        <w:numPr>
          <w:ilvl w:val="0"/>
          <w:numId w:val="1001"/>
        </w:numPr>
        <w:pStyle w:val="Compact"/>
      </w:pPr>
      <w:r>
        <w:rPr>
          <w:bCs/>
          <w:b/>
        </w:rPr>
        <w:t xml:space="preserve">DIN EN ISO 12107:</w:t>
      </w:r>
      <w:r>
        <w:t xml:space="preserve"> </w:t>
      </w:r>
      <w:r>
        <w:t xml:space="preserve">Metallic materials – Fatigue testing – Statistical planning and analysis of test results.</w:t>
      </w:r>
    </w:p>
    <w:p>
      <w:pPr>
        <w:numPr>
          <w:ilvl w:val="0"/>
          <w:numId w:val="1001"/>
        </w:numPr>
        <w:pStyle w:val="Compact"/>
      </w:pPr>
      <w:r>
        <w:rPr>
          <w:bCs/>
          <w:b/>
        </w:rPr>
        <w:t xml:space="preserve">DIN EN 60079:</w:t>
      </w:r>
      <w:r>
        <w:t xml:space="preserve"> </w:t>
      </w:r>
      <w:r>
        <w:t xml:space="preserve">Explosive atmospheres (if testing involves hazardous environments).</w:t>
      </w:r>
    </w:p>
    <w:p>
      <w:pPr>
        <w:numPr>
          <w:ilvl w:val="0"/>
          <w:numId w:val="1001"/>
        </w:numPr>
        <w:pStyle w:val="Compact"/>
      </w:pPr>
      <w:r>
        <w:rPr>
          <w:bCs/>
          <w:b/>
        </w:rPr>
        <w:t xml:space="preserve">BG R 101:</w:t>
      </w:r>
      <w:r>
        <w:t xml:space="preserve"> </w:t>
      </w:r>
      <w:r>
        <w:t xml:space="preserve">Occupational safety regulations for mechanical engineering workplaces in Germany.</w:t>
      </w:r>
    </w:p>
    <w:p>
      <w:pPr>
        <w:numPr>
          <w:ilvl w:val="0"/>
          <w:numId w:val="1001"/>
        </w:numPr>
        <w:pStyle w:val="Compact"/>
      </w:pPr>
      <w:r>
        <w:rPr>
          <w:bCs/>
          <w:b/>
        </w:rPr>
        <w:t xml:space="preserve">GDPR (DSGVO):</w:t>
      </w:r>
      <w:r>
        <w:t xml:space="preserve"> </w:t>
      </w:r>
      <w:r>
        <w:t xml:space="preserve">Data protection regulations for handling employee and proprietary data within the facility.</w:t>
      </w:r>
    </w:p>
    <w:p>
      <w:pPr>
        <w:pStyle w:val="FirstParagraph"/>
      </w:pPr>
      <w:r>
        <w:t xml:space="preserve">Adherence to these standards is non-negotiable and reflects the high level of precision and safety culture prevalent in German mechanical engineering practices.</w:t>
      </w:r>
    </w:p>
    <w:bookmarkEnd w:id="22"/>
    <w:bookmarkStart w:id="23" w:name="equipment-and-materials"/>
    <w:p>
      <w:pPr>
        <w:pStyle w:val="Heading2"/>
      </w:pPr>
      <w:r>
        <w:t xml:space="preserve">3. Equipment and Materials</w:t>
      </w:r>
    </w:p>
    <w:p>
      <w:pPr>
        <w:pStyle w:val="FirstParagraph"/>
      </w:pPr>
      <w:r>
        <w:t xml:space="preserve">The following equipment and materials are required for the experiment. All equipment must be calibrated according to DIN EN ISO 17025 standards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Capacity: 100 kN, Frequency: 0.1-100 Hz</w:t>
            </w:r>
          </w:p>
        </w:tc>
        <w:tc>
          <w:tcPr/>
          <w:p>
            <w:pPr>
              <w:pStyle w:val="Compact"/>
              <w:jc w:val="left"/>
            </w:pPr>
            <w:r>
              <w:t xml:space="preserve">1</w:t>
            </w:r>
          </w:p>
        </w:tc>
      </w:tr>
      <w:tr>
        <w:tc>
          <w:tcPr/>
          <w:p>
            <w:pPr>
              <w:pStyle w:val="Compact"/>
              <w:jc w:val="left"/>
            </w:pPr>
            <w:r>
              <w:t xml:space="preserve">Strain Gauges</w:t>
            </w:r>
          </w:p>
        </w:tc>
        <w:tc>
          <w:tcPr/>
          <w:p>
            <w:pPr>
              <w:pStyle w:val="Compact"/>
              <w:jc w:val="left"/>
            </w:pPr>
            <w:r>
              <w:t xml:space="preserve">Full-bridge configuration, Class A accuracy</w:t>
            </w:r>
          </w:p>
        </w:tc>
        <w:tc>
          <w:tcPr/>
          <w:p>
            <w:pPr>
              <w:pStyle w:val="Compact"/>
              <w:jc w:val="left"/>
            </w:pPr>
            <w:r>
              <w:t xml:space="preserve">4</w:t>
            </w:r>
          </w:p>
        </w:tc>
      </w:tr>
      <w:tr>
        <w:tc>
          <w:tcPr/>
          <w:p>
            <w:pPr>
              <w:pStyle w:val="Compact"/>
              <w:jc w:val="left"/>
            </w:pPr>
            <w:r>
              <w:t xml:space="preserve">Test Specimens</w:t>
            </w:r>
          </w:p>
        </w:tc>
        <w:tc>
          <w:tcPr/>
          <w:p>
            <w:pPr>
              <w:pStyle w:val="Compact"/>
              <w:jc w:val="left"/>
            </w:pPr>
            <w:r>
              <w:t xml:space="preserve">Aluminum 7075-T6, machined to ISO 6892-1 dimensions</w:t>
            </w:r>
          </w:p>
        </w:tc>
        <w:tc>
          <w:tcPr/>
          <w:p>
            <w:pPr>
              <w:pStyle w:val="Compact"/>
              <w:jc w:val="left"/>
            </w:pPr>
            <w:r>
              <w:t xml:space="preserve">15</w:t>
            </w:r>
          </w:p>
        </w:tc>
      </w:tr>
      <w:tr>
        <w:tc>
          <w:tcPr/>
          <w:p>
            <w:pPr>
              <w:pStyle w:val="Compact"/>
              <w:jc w:val="left"/>
            </w:pPr>
            <w:r>
              <w:t xml:space="preserve">Data Acquisition System</w:t>
            </w:r>
          </w:p>
        </w:tc>
        <w:tc>
          <w:tcPr/>
          <w:p>
            <w:pPr>
              <w:pStyle w:val="Compact"/>
              <w:jc w:val="left"/>
            </w:pPr>
            <w:r>
              <w:t xml:space="preserve">Sampling rate: 10 kHz, 24-bit resolution</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Temperature range: -40°C to 150°C</w:t>
            </w:r>
          </w:p>
        </w:tc>
        <w:tc>
          <w:tcPr/>
          <w:p>
            <w:pPr>
              <w:pStyle w:val="Compact"/>
              <w:jc w:val="left"/>
            </w:pPr>
            <w:r>
              <w:t xml:space="preserve">1</w:t>
            </w:r>
          </w:p>
        </w:tc>
      </w:tr>
    </w:tbl>
    <w:bookmarkEnd w:id="23"/>
    <w:bookmarkStart w:id="28"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The Mechanical Engineer must first inspect all test specimens for surface defects using optical microscopy. Any specimen with visible cracks or machining marks exceeding the specified tolerance must be discarded. The testing machine should be warmed up for at least 30 minutes to ensure thermal stability, a critical factor in maintaining precision in Munich's variable climate conditions.</w:t>
      </w:r>
    </w:p>
    <w:bookmarkEnd w:id="24"/>
    <w:bookmarkStart w:id="25" w:name="setup"/>
    <w:p>
      <w:pPr>
        <w:pStyle w:val="Heading3"/>
      </w:pPr>
      <w:r>
        <w:t xml:space="preserve">4.2 Setup</w:t>
      </w:r>
    </w:p>
    <w:p>
      <w:pPr>
        <w:pStyle w:val="FirstParagraph"/>
      </w:pPr>
      <w:r>
        <w:t xml:space="preserve">Mount the test specimen in the universal testing machine, ensuring proper alignment to avoid bending moments. Attach the strain gauges according to the manufacturer's instructions, using a high-quality adhesive suitable for the temperature range of the experiment. Connect the data acquisition system and verify signal integrity.</w:t>
      </w:r>
    </w:p>
    <w:bookmarkEnd w:id="25"/>
    <w:bookmarkStart w:id="26" w:name="execution"/>
    <w:p>
      <w:pPr>
        <w:pStyle w:val="Heading3"/>
      </w:pPr>
      <w:r>
        <w:t xml:space="preserve">4.3 Execution</w:t>
      </w:r>
    </w:p>
    <w:p>
      <w:pPr>
        <w:pStyle w:val="FirstParagraph"/>
      </w:pPr>
      <w:r>
        <w:t xml:space="preserve">Begin the cyclic loading test at a frequency of 10 Hz. The load ratio (R) should be set to 0.1, with a maximum stress amplitude of 250 MPa. Monitor the specimen continuously for signs of fatigue crack initiation. Record data at regular intervals, ensuring that the data acquisition system is functioning correctly throughout the test.</w:t>
      </w:r>
    </w:p>
    <w:bookmarkEnd w:id="26"/>
    <w:bookmarkStart w:id="27" w:name="termination"/>
    <w:p>
      <w:pPr>
        <w:pStyle w:val="Heading3"/>
      </w:pPr>
      <w:r>
        <w:t xml:space="preserve">4.4 Termination</w:t>
      </w:r>
    </w:p>
    <w:p>
      <w:pPr>
        <w:pStyle w:val="FirstParagraph"/>
      </w:pPr>
      <w:r>
        <w:t xml:space="preserve">The test should be terminated when the specimen fails or reaches 10^7 cycles without failure. Upon termination, carefully remove the specimen and document the failure mode using high-resolution photography.</w:t>
      </w:r>
    </w:p>
    <w:bookmarkEnd w:id="27"/>
    <w:bookmarkEnd w:id="28"/>
    <w:bookmarkStart w:id="29" w:name="data-analysis-and-reporting"/>
    <w:p>
      <w:pPr>
        <w:pStyle w:val="Heading2"/>
      </w:pPr>
      <w:r>
        <w:t xml:space="preserve">5. Data Analysis and Reporting</w:t>
      </w:r>
    </w:p>
    <w:p>
      <w:pPr>
        <w:pStyle w:val="FirstParagraph"/>
      </w:pPr>
      <w:r>
        <w:t xml:space="preserve">The Mechanical Engineer is responsible for analyzing the collected data to determine the fatigue life of the test specimens. Statistical methods, such as the Weibull distribution, should be employed to assess the reliability of the results. The final report must include:</w:t>
      </w:r>
    </w:p>
    <w:p>
      <w:pPr>
        <w:numPr>
          <w:ilvl w:val="0"/>
          <w:numId w:val="1002"/>
        </w:numPr>
        <w:pStyle w:val="Compact"/>
      </w:pPr>
      <w:r>
        <w:t xml:space="preserve">A detailed description of the experimental setup and procedures.</w:t>
      </w:r>
    </w:p>
    <w:p>
      <w:pPr>
        <w:numPr>
          <w:ilvl w:val="0"/>
          <w:numId w:val="1002"/>
        </w:numPr>
        <w:pStyle w:val="Compact"/>
      </w:pPr>
      <w:r>
        <w:t xml:space="preserve">Raw data and processed results, including stress-life (S-N) curves.</w:t>
      </w:r>
    </w:p>
    <w:p>
      <w:pPr>
        <w:numPr>
          <w:ilvl w:val="0"/>
          <w:numId w:val="1002"/>
        </w:numPr>
        <w:pStyle w:val="Compact"/>
      </w:pPr>
      <w:r>
        <w:t xml:space="preserve">Photographs of the failed specimens and any observed anomalies.</w:t>
      </w:r>
    </w:p>
    <w:p>
      <w:pPr>
        <w:numPr>
          <w:ilvl w:val="0"/>
          <w:numId w:val="1002"/>
        </w:numPr>
        <w:pStyle w:val="Compact"/>
      </w:pPr>
      <w:r>
        <w:t xml:space="preserve">Conclusions and recommendations for future testing or design improvements.</w:t>
      </w:r>
    </w:p>
    <w:p>
      <w:pPr>
        <w:pStyle w:val="FirstParagraph"/>
      </w:pPr>
      <w:r>
        <w:t xml:space="preserve">The report must be written in clear, concise English to facilitate communication with international stakeholders, reflecting the global nature of the mechanical engineering industry in Munich, Germany.</w:t>
      </w:r>
    </w:p>
    <w:bookmarkEnd w:id="29"/>
    <w:bookmarkStart w:id="30" w:name="safety-and-environmental-considerations"/>
    <w:p>
      <w:pPr>
        <w:pStyle w:val="Heading2"/>
      </w:pPr>
      <w:r>
        <w:t xml:space="preserve">6. Safety and Environmental Considerations</w:t>
      </w:r>
    </w:p>
    <w:p>
      <w:pPr>
        <w:pStyle w:val="FirstParagraph"/>
      </w:pPr>
      <w:r>
        <w:t xml:space="preserve">Safety is paramount in any mechanical engineering experiment. The Mechanical Engineer must ensure that all personnel involved in the experiment are trained in the proper use of the equipment and are aware of potential hazards. Personal protective equipment (PPE), including safety glasses, gloves, and steel-toed boots, must be worn at all times in the testing area.</w:t>
      </w:r>
    </w:p>
    <w:p>
      <w:pPr>
        <w:pStyle w:val="BodyText"/>
      </w:pPr>
      <w:r>
        <w:t xml:space="preserve">Additionally, the experiment must be conducted in an environmentally responsible manner. Waste materials, such as failed specimens and used adhesives, should be disposed of according to local regulations in Munich, Germany. The use of energy-efficient equipment and practices is encouraged to minimize the environmental impact of the experiment.</w:t>
      </w:r>
    </w:p>
    <w:bookmarkEnd w:id="30"/>
    <w:bookmarkStart w:id="31" w:name="approval-and-signatures"/>
    <w:p>
      <w:pPr>
        <w:pStyle w:val="Heading2"/>
      </w:pPr>
      <w:r>
        <w:t xml:space="preserve">7. Approval and Signatures</w:t>
      </w:r>
    </w:p>
    <w:p>
      <w:pPr>
        <w:pStyle w:val="FirstParagraph"/>
      </w:pPr>
      <w:r>
        <w:t xml:space="preserve">This Experiment Protocol must be reviewed and approved by the relevant authorities before the experiment can commence. The following signatures indicate approval:</w:t>
      </w:r>
    </w:p>
    <w:p>
      <w:pPr>
        <w:pStyle w:val="BodyText"/>
      </w:pPr>
      <w:r>
        <w:rPr>
          <w:bCs/>
          <w:b/>
        </w:rPr>
        <w:t xml:space="preserve">Mechanical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Project Manager:</w:t>
      </w:r>
    </w:p>
    <w:p>
      <w:pPr>
        <w:pStyle w:val="BodyText"/>
      </w:pPr>
      <w:r>
        <w:t xml:space="preserve">Name: ________________________</w:t>
      </w:r>
    </w:p>
    <w:p>
      <w:pPr>
        <w:pStyle w:val="BodyText"/>
      </w:pPr>
      <w:r>
        <w:t xml:space="preserve">Date: ________________________</w:t>
      </w:r>
    </w:p>
    <w:p>
      <w:pPr>
        <w:pStyle w:val="BodyText"/>
      </w:pPr>
      <w:r>
        <w:rPr>
          <w:bCs/>
          <w:b/>
        </w:rPr>
        <w:t xml:space="preserve">Safety Officer:</w:t>
      </w:r>
    </w:p>
    <w:p>
      <w:pPr>
        <w:pStyle w:val="BodyText"/>
      </w:pPr>
      <w:r>
        <w:t xml:space="preserve">Name: ________________________</w:t>
      </w:r>
    </w:p>
    <w:p>
      <w:pPr>
        <w:pStyle w:val="BodyText"/>
      </w:pPr>
      <w:r>
        <w:t xml:space="preserve">Date: 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Validation in Munich, Germany</dc:title>
  <dc:creator/>
  <dc:language>en</dc:language>
  <cp:keywords/>
  <dcterms:created xsi:type="dcterms:W3CDTF">2026-10-10T01:43:18Z</dcterms:created>
  <dcterms:modified xsi:type="dcterms:W3CDTF">2026-10-10T01:43:18Z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