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Thermal</w:t>
      </w:r>
      <w:r>
        <w:t xml:space="preserve"> </w:t>
      </w:r>
      <w:r>
        <w:t xml:space="preserve">Stress</w:t>
      </w:r>
      <w:r>
        <w:t xml:space="preserve"> </w:t>
      </w:r>
      <w:r>
        <w:t xml:space="preserve">Analysis</w:t>
      </w:r>
      <w:r>
        <w:t xml:space="preserve"> </w:t>
      </w:r>
      <w:r>
        <w:t xml:space="preserve">of</w:t>
      </w:r>
      <w:r>
        <w:t xml:space="preserve"> </w:t>
      </w:r>
      <w:r>
        <w:t xml:space="preserve">Composite</w:t>
      </w:r>
      <w:r>
        <w:t xml:space="preserve"> </w:t>
      </w:r>
      <w:r>
        <w:t xml:space="preserve">Materials</w:t>
      </w:r>
    </w:p>
    <w:bookmarkStart w:id="20" w:name="Xbf4c62b89562edf66b96df12b0f60d1e734fe46"/>
    <w:p>
      <w:pPr>
        <w:pStyle w:val="Heading1"/>
      </w:pPr>
      <w:r>
        <w:t xml:space="preserve">Experiment Protocol: Thermal Stress Analysis of Aerospace-Grade Composites</w:t>
      </w:r>
    </w:p>
    <w:p>
      <w:pPr>
        <w:pStyle w:val="FirstParagraph"/>
      </w:pPr>
      <w:r>
        <w:rPr>
          <w:bCs/>
          <w:b/>
        </w:rPr>
        <w:t xml:space="preserve">Protocol ID:</w:t>
      </w:r>
      <w:r>
        <w:t xml:space="preserve"> </w:t>
      </w:r>
      <w:r>
        <w:t xml:space="preserve">ME-TLV-2023-042</w:t>
      </w:r>
    </w:p>
    <w:p>
      <w:pPr>
        <w:pStyle w:val="BodyText"/>
      </w:pPr>
      <w:r>
        <w:rPr>
          <w:bCs/>
          <w:b/>
        </w:rPr>
        <w:t xml:space="preserve">Location:</w:t>
      </w:r>
      <w:r>
        <w:t xml:space="preserve"> </w:t>
      </w:r>
      <w:r>
        <w:t xml:space="preserve">Advanced Materials Testing Laboratory, Tel Aviv University, Tel Aviv, Israel</w:t>
      </w:r>
    </w:p>
    <w:p>
      <w:pPr>
        <w:pStyle w:val="BodyText"/>
      </w:pPr>
      <w:r>
        <w:rPr>
          <w:bCs/>
          <w:b/>
        </w:rPr>
        <w:t xml:space="preserve">Date of Issue:</w:t>
      </w:r>
      <w:r>
        <w:t xml:space="preserve"> </w:t>
      </w:r>
      <w:r>
        <w:t xml:space="preserve">October 24, 2023</w:t>
      </w:r>
    </w:p>
    <w:p>
      <w:pPr>
        <w:pStyle w:val="BodyText"/>
      </w:pPr>
      <w:r>
        <w:rPr>
          <w:bCs/>
          <w:b/>
        </w:rPr>
        <w:t xml:space="preserve">Lead Mechanical Engineer:</w:t>
      </w:r>
      <w:r>
        <w:t xml:space="preserve"> </w:t>
      </w:r>
      <w:r>
        <w:t xml:space="preserve">Dr. Yael Cohen</w:t>
      </w:r>
    </w:p>
    <w:p>
      <w:pPr>
        <w:pStyle w:val="BodyText"/>
      </w:pPr>
      <w:r>
        <w:rPr>
          <w:bCs/>
          <w:b/>
        </w:rPr>
        <w:t xml:space="preserve">Compliance Standards:</w:t>
      </w:r>
      <w:r>
        <w:t xml:space="preserve"> </w:t>
      </w:r>
      <w:r>
        <w:t xml:space="preserve">ISO 9001:2015, SII (Standards Institute of Israel) 1300 Series</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required to evaluate the thermal stress resistance of carbon-fiber reinforced polymer (CFRP) composites intended for use in high-altitude aerospace applications. Given the unique climatic conditions of</w:t>
      </w:r>
      <w:r>
        <w:t xml:space="preserve"> </w:t>
      </w:r>
      <w:r>
        <w:rPr>
          <w:bCs/>
          <w:b/>
        </w:rPr>
        <w:t xml:space="preserve">Israel Tel Aviv</w:t>
      </w:r>
      <w:r>
        <w:t xml:space="preserve">, characterized by high ambient humidity and significant diurnal temperature fluctuations, this study aims to simulate accelerated aging effects on structural integrity.</w:t>
      </w:r>
    </w:p>
    <w:p>
      <w:pPr>
        <w:pStyle w:val="BodyText"/>
      </w:pPr>
      <w:r>
        <w:t xml:space="preserve">The primary objective is to determine the coefficient of thermal expansion (CTE) and the ultimate tensile strength of the material after exposure to extreme thermal cycling. This data is critical for the</w:t>
      </w:r>
      <w:r>
        <w:t xml:space="preserve"> </w:t>
      </w:r>
      <w:r>
        <w:rPr>
          <w:bCs/>
          <w:b/>
        </w:rPr>
        <w:t xml:space="preserve">Mechanical Engineer</w:t>
      </w:r>
      <w:r>
        <w:t xml:space="preserve"> </w:t>
      </w:r>
      <w:r>
        <w:t xml:space="preserve">overseeing the design phase to ensure that components will not suffer from delamination or micro-cracking during operation in the Middle Eastern theater.</w:t>
      </w:r>
    </w:p>
    <w:bookmarkEnd w:id="21"/>
    <w:bookmarkStart w:id="22" w:name="scope-and-applicability"/>
    <w:p>
      <w:pPr>
        <w:pStyle w:val="Heading2"/>
      </w:pPr>
      <w:r>
        <w:t xml:space="preserve">2. Scope and Applicability</w:t>
      </w:r>
    </w:p>
    <w:p>
      <w:pPr>
        <w:pStyle w:val="FirstParagraph"/>
      </w:pPr>
      <w:r>
        <w:t xml:space="preserve">This protocol applies specifically to the testing of Batch #44-B of CFRP samples manufactured at the Ramat Gan industrial facility. The testing will be conducted within the controlled environment of the Tel Aviv University engineering campus. All procedures must be executed by certified personnel familiar with the safety regulations of the State of Israel regarding hazardous materials and high-pressure equipment.</w:t>
      </w:r>
    </w:p>
    <w:bookmarkEnd w:id="22"/>
    <w:bookmarkStart w:id="23" w:name="equipment-and-materials"/>
    <w:p>
      <w:pPr>
        <w:pStyle w:val="Heading2"/>
      </w:pPr>
      <w:r>
        <w:t xml:space="preserve">3. Equipment and Materials</w:t>
      </w:r>
    </w:p>
    <w:p>
      <w:pPr>
        <w:pStyle w:val="FirstParagraph"/>
      </w:pPr>
      <w:r>
        <w:t xml:space="preserve">The following equipment must be calibrated according to the latest standards set by the Standards Institute of Israel (SII) prior to the commencement of the experiment:</w:t>
      </w:r>
    </w:p>
    <w:p>
      <w:pPr>
        <w:numPr>
          <w:ilvl w:val="0"/>
          <w:numId w:val="1001"/>
        </w:numPr>
        <w:pStyle w:val="Compact"/>
      </w:pPr>
      <w:r>
        <w:rPr>
          <w:bCs/>
          <w:b/>
        </w:rPr>
        <w:t xml:space="preserve">Environmental Chamber:</w:t>
      </w:r>
      <w:r>
        <w:t xml:space="preserve"> </w:t>
      </w:r>
      <w:r>
        <w:t xml:space="preserve">Capable of maintaining temperatures between -40°C and +120°C with humidity control up to 95% RH.</w:t>
      </w:r>
    </w:p>
    <w:p>
      <w:pPr>
        <w:numPr>
          <w:ilvl w:val="0"/>
          <w:numId w:val="1001"/>
        </w:numPr>
        <w:pStyle w:val="Compact"/>
      </w:pPr>
      <w:r>
        <w:rPr>
          <w:bCs/>
          <w:b/>
        </w:rPr>
        <w:t xml:space="preserve">Universal Testing Machine (UTM):</w:t>
      </w:r>
      <w:r>
        <w:t xml:space="preserve"> </w:t>
      </w:r>
      <w:r>
        <w:t xml:space="preserve">Instron 5969 with a 100kN load cell.</w:t>
      </w:r>
    </w:p>
    <w:p>
      <w:pPr>
        <w:numPr>
          <w:ilvl w:val="0"/>
          <w:numId w:val="1001"/>
        </w:numPr>
        <w:pStyle w:val="Compact"/>
      </w:pPr>
      <w:r>
        <w:rPr>
          <w:bCs/>
          <w:b/>
        </w:rPr>
        <w:t xml:space="preserve">Digital Image Correlation (DIC) System:</w:t>
      </w:r>
      <w:r>
        <w:t xml:space="preserve"> </w:t>
      </w:r>
      <w:r>
        <w:t xml:space="preserve">For real-time strain mapping.</w:t>
      </w:r>
    </w:p>
    <w:p>
      <w:pPr>
        <w:numPr>
          <w:ilvl w:val="0"/>
          <w:numId w:val="1001"/>
        </w:numPr>
        <w:pStyle w:val="Compact"/>
      </w:pPr>
      <w:r>
        <w:rPr>
          <w:bCs/>
          <w:b/>
        </w:rPr>
        <w:t xml:space="preserve">Thermocouples:</w:t>
      </w:r>
      <w:r>
        <w:t xml:space="preserve"> </w:t>
      </w:r>
      <w:r>
        <w:t xml:space="preserve">Type K, calibrated for high-precision readings.</w:t>
      </w:r>
    </w:p>
    <w:p>
      <w:pPr>
        <w:numPr>
          <w:ilvl w:val="0"/>
          <w:numId w:val="1001"/>
        </w:numPr>
        <w:pStyle w:val="Compact"/>
      </w:pPr>
      <w:r>
        <w:rPr>
          <w:bCs/>
          <w:b/>
        </w:rPr>
        <w:t xml:space="preserve">Sample Specimens:</w:t>
      </w:r>
      <w:r>
        <w:t xml:space="preserve"> </w:t>
      </w:r>
      <w:r>
        <w:t xml:space="preserve">20 standardized dog-bone shaped CFRP samples (Dimensions: 150mm x 25mm x 3mm).</w:t>
      </w:r>
    </w:p>
    <w:bookmarkEnd w:id="23"/>
    <w:bookmarkStart w:id="24" w:name="safety-precautions"/>
    <w:p>
      <w:pPr>
        <w:pStyle w:val="Heading2"/>
      </w:pPr>
      <w:r>
        <w:t xml:space="preserve">4. Safety Precautions</w:t>
      </w:r>
    </w:p>
    <w:p>
      <w:pPr>
        <w:pStyle w:val="FirstParagraph"/>
      </w:pPr>
      <w:r>
        <w:rPr>
          <w:bCs/>
          <w:b/>
        </w:rPr>
        <w:t xml:space="preserve">WARNING:</w:t>
      </w:r>
      <w:r>
        <w:t xml:space="preserve"> </w:t>
      </w:r>
      <w:r>
        <w:t xml:space="preserve">Strict adherence to safety protocols is mandatory. The testing environment in</w:t>
      </w:r>
      <w:r>
        <w:t xml:space="preserve"> </w:t>
      </w:r>
      <w:r>
        <w:rPr>
          <w:bCs/>
          <w:b/>
        </w:rPr>
        <w:t xml:space="preserve">Tel Aviv</w:t>
      </w:r>
      <w:r>
        <w:t xml:space="preserve"> </w:t>
      </w:r>
      <w:r>
        <w:t xml:space="preserve">requires specific attention to electrical safety due to the high humidity levels.</w:t>
      </w:r>
    </w:p>
    <w:p>
      <w:pPr>
        <w:numPr>
          <w:ilvl w:val="0"/>
          <w:numId w:val="1002"/>
        </w:numPr>
        <w:pStyle w:val="Compact"/>
      </w:pPr>
      <w:r>
        <w:t xml:space="preserve">All personnel must wear appropriate Personal Protective Equipment (PPE), including safety goggles, heat-resistant gloves, and steel-toed boots.</w:t>
      </w:r>
    </w:p>
    <w:p>
      <w:pPr>
        <w:numPr>
          <w:ilvl w:val="0"/>
          <w:numId w:val="1002"/>
        </w:numPr>
        <w:pStyle w:val="Compact"/>
      </w:pPr>
      <w:r>
        <w:t xml:space="preserve">The environmental chamber must be grounded properly to prevent electrical faults.</w:t>
      </w:r>
    </w:p>
    <w:p>
      <w:pPr>
        <w:numPr>
          <w:ilvl w:val="0"/>
          <w:numId w:val="1002"/>
        </w:numPr>
        <w:pStyle w:val="Compact"/>
      </w:pPr>
      <w:r>
        <w:t xml:space="preserve">In the event of a sample failure under high tension, personnel must remain behind the safety shield.</w:t>
      </w:r>
    </w:p>
    <w:p>
      <w:pPr>
        <w:numPr>
          <w:ilvl w:val="0"/>
          <w:numId w:val="1002"/>
        </w:numPr>
        <w:pStyle w:val="Compact"/>
      </w:pPr>
      <w:r>
        <w:t xml:space="preserve">Emergency shut-off procedures must be reviewed daily by the lead</w:t>
      </w:r>
      <w:r>
        <w:t xml:space="preserve"> </w:t>
      </w:r>
      <w:r>
        <w:rPr>
          <w:bCs/>
          <w:b/>
        </w:rPr>
        <w:t xml:space="preserve">Mechanical Engineer</w:t>
      </w:r>
      <w:r>
        <w:t xml:space="preserve">.</w:t>
      </w:r>
    </w:p>
    <w:bookmarkEnd w:id="24"/>
    <w:bookmarkStart w:id="29" w:name="experimental-procedure"/>
    <w:p>
      <w:pPr>
        <w:pStyle w:val="Heading2"/>
      </w:pPr>
      <w:r>
        <w:t xml:space="preserve">5. Experimental Procedure</w:t>
      </w:r>
    </w:p>
    <w:bookmarkStart w:id="25" w:name="sample-preparation"/>
    <w:p>
      <w:pPr>
        <w:pStyle w:val="Heading3"/>
      </w:pPr>
      <w:r>
        <w:t xml:space="preserve">5.1 Sample Preparation</w:t>
      </w:r>
    </w:p>
    <w:p>
      <w:pPr>
        <w:pStyle w:val="FirstParagraph"/>
      </w:pPr>
      <w:r>
        <w:t xml:space="preserve">Each sample shall be cleaned with isopropyl alcohol to remove surface contaminants. The samples will be labeled with a heat-resistant marker corresponding to their test group. Initial dimensions and mass will be recorded using a digital caliper and precision scale.</w:t>
      </w:r>
    </w:p>
    <w:bookmarkEnd w:id="25"/>
    <w:bookmarkStart w:id="26" w:name="baseline-testing"/>
    <w:p>
      <w:pPr>
        <w:pStyle w:val="Heading3"/>
      </w:pPr>
      <w:r>
        <w:t xml:space="preserve">5.2 Baseline Testing</w:t>
      </w:r>
    </w:p>
    <w:p>
      <w:pPr>
        <w:pStyle w:val="FirstParagraph"/>
      </w:pPr>
      <w:r>
        <w:t xml:space="preserve">Five samples will undergo immediate tensile testing at room temperature (25°C) to establish a baseline for mechanical properties. The load will be applied at a rate of 2mm/min until failure. Data regarding stress-strain curves will be captured via the DIC system.</w:t>
      </w:r>
    </w:p>
    <w:bookmarkEnd w:id="26"/>
    <w:bookmarkStart w:id="27" w:name="thermal-cycling-protocol"/>
    <w:p>
      <w:pPr>
        <w:pStyle w:val="Heading3"/>
      </w:pPr>
      <w:r>
        <w:t xml:space="preserve">5.3 Thermal Cycling Protocol</w:t>
      </w:r>
    </w:p>
    <w:p>
      <w:pPr>
        <w:pStyle w:val="FirstParagraph"/>
      </w:pPr>
      <w:r>
        <w:t xml:space="preserve">The remaining fifteen samples will be subjected to a thermal cycling regimen designed to mimic the harsh environmental conditions found in the Mediterranean coastal region of</w:t>
      </w:r>
      <w:r>
        <w:t xml:space="preserve"> </w:t>
      </w:r>
      <w:r>
        <w:rPr>
          <w:bCs/>
          <w:b/>
        </w:rPr>
        <w:t xml:space="preserve">Israel Tel Aviv</w:t>
      </w:r>
      <w:r>
        <w:t xml:space="preserve">, accelerated for testing purposes.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Temperature</w:t>
            </w:r>
          </w:p>
        </w:tc>
        <w:tc>
          <w:tcPr/>
          <w:p>
            <w:pPr>
              <w:pStyle w:val="Compact"/>
              <w:jc w:val="left"/>
            </w:pPr>
            <w:r>
              <w:t xml:space="preserve">Humidity</w:t>
            </w:r>
          </w:p>
        </w:tc>
        <w:tc>
          <w:tcPr/>
          <w:p>
            <w:pPr>
              <w:pStyle w:val="Compact"/>
              <w:jc w:val="left"/>
            </w:pPr>
            <w:r>
              <w:t xml:space="preserve">Duration</w:t>
            </w:r>
          </w:p>
        </w:tc>
        <w:tc>
          <w:tcPr/>
          <w:p>
            <w:pPr>
              <w:pStyle w:val="Compact"/>
              <w:jc w:val="left"/>
            </w:pPr>
            <w:r>
              <w:t xml:space="preserve">Ramp Rate</w:t>
            </w:r>
          </w:p>
        </w:tc>
      </w:tr>
      <w:tr>
        <w:tc>
          <w:tcPr/>
          <w:p>
            <w:pPr>
              <w:pStyle w:val="Compact"/>
              <w:jc w:val="left"/>
            </w:pPr>
            <w:r>
              <w:t xml:space="preserve">Heating</w:t>
            </w:r>
          </w:p>
        </w:tc>
        <w:tc>
          <w:tcPr/>
          <w:p>
            <w:pPr>
              <w:pStyle w:val="Compact"/>
              <w:jc w:val="left"/>
            </w:pPr>
            <w:r>
              <w:t xml:space="preserve">25°C to 85°C</w:t>
            </w:r>
          </w:p>
        </w:tc>
        <w:tc>
          <w:tcPr/>
          <w:p>
            <w:pPr>
              <w:pStyle w:val="Compact"/>
              <w:jc w:val="left"/>
            </w:pPr>
            <w:r>
              <w:t xml:space="preserve">60% RH</w:t>
            </w:r>
          </w:p>
        </w:tc>
        <w:tc>
          <w:tcPr/>
          <w:p>
            <w:pPr>
              <w:pStyle w:val="Compact"/>
              <w:jc w:val="left"/>
            </w:pPr>
            <w:r>
              <w:t xml:space="preserve">2 Hours</w:t>
            </w:r>
          </w:p>
        </w:tc>
        <w:tc>
          <w:tcPr/>
          <w:p>
            <w:pPr>
              <w:pStyle w:val="Compact"/>
              <w:jc w:val="left"/>
            </w:pPr>
            <w:r>
              <w:t xml:space="preserve">5°C/min</w:t>
            </w:r>
          </w:p>
        </w:tc>
      </w:tr>
      <w:tr>
        <w:tc>
          <w:tcPr/>
          <w:p>
            <w:pPr>
              <w:pStyle w:val="Compact"/>
              <w:jc w:val="left"/>
            </w:pPr>
            <w:r>
              <w:t xml:space="preserve">Soak</w:t>
            </w:r>
          </w:p>
        </w:tc>
        <w:tc>
          <w:tcPr/>
          <w:p>
            <w:pPr>
              <w:pStyle w:val="Compact"/>
              <w:jc w:val="left"/>
            </w:pPr>
            <w:r>
              <w:t xml:space="preserve">85°C</w:t>
            </w:r>
          </w:p>
        </w:tc>
        <w:tc>
          <w:tcPr/>
          <w:p>
            <w:pPr>
              <w:pStyle w:val="Compact"/>
              <w:jc w:val="left"/>
            </w:pPr>
            <w:r>
              <w:t xml:space="preserve">85% RH</w:t>
            </w:r>
          </w:p>
        </w:tc>
        <w:tc>
          <w:tcPr/>
          <w:p>
            <w:pPr>
              <w:pStyle w:val="Compact"/>
              <w:jc w:val="left"/>
            </w:pPr>
            <w:r>
              <w:t xml:space="preserve">4 Hours</w:t>
            </w:r>
          </w:p>
        </w:tc>
        <w:tc>
          <w:tcPr/>
          <w:p>
            <w:pPr>
              <w:pStyle w:val="Compact"/>
              <w:jc w:val="left"/>
            </w:pPr>
            <w:r>
              <w:t xml:space="preserve">N/A</w:t>
            </w:r>
          </w:p>
        </w:tc>
      </w:tr>
      <w:tr>
        <w:tc>
          <w:tcPr/>
          <w:p>
            <w:pPr>
              <w:pStyle w:val="Compact"/>
              <w:jc w:val="left"/>
            </w:pPr>
            <w:r>
              <w:t xml:space="preserve">Cooling</w:t>
            </w:r>
          </w:p>
        </w:tc>
        <w:tc>
          <w:tcPr/>
          <w:p>
            <w:pPr>
              <w:pStyle w:val="Compact"/>
              <w:jc w:val="left"/>
            </w:pPr>
            <w:r>
              <w:t xml:space="preserve">85°C to -20°C</w:t>
            </w:r>
          </w:p>
        </w:tc>
        <w:tc>
          <w:tcPr/>
          <w:p>
            <w:pPr>
              <w:pStyle w:val="Compact"/>
              <w:jc w:val="left"/>
            </w:pPr>
            <w:r>
              <w:t xml:space="preserve">40% RH</w:t>
            </w:r>
          </w:p>
        </w:tc>
        <w:tc>
          <w:tcPr/>
          <w:p>
            <w:pPr>
              <w:pStyle w:val="Compact"/>
              <w:jc w:val="left"/>
            </w:pPr>
            <w:r>
              <w:t xml:space="preserve">2 Hours</w:t>
            </w:r>
          </w:p>
        </w:tc>
        <w:tc>
          <w:tcPr/>
          <w:p>
            <w:pPr>
              <w:pStyle w:val="Compact"/>
              <w:jc w:val="left"/>
            </w:pPr>
            <w:r>
              <w:t xml:space="preserve">5°C/min</w:t>
            </w:r>
          </w:p>
        </w:tc>
      </w:tr>
      <w:tr>
        <w:tc>
          <w:tcPr/>
          <w:p>
            <w:pPr>
              <w:pStyle w:val="Compact"/>
              <w:jc w:val="left"/>
            </w:pPr>
            <w:r>
              <w:t xml:space="preserve">Soak</w:t>
            </w:r>
          </w:p>
        </w:tc>
        <w:tc>
          <w:tcPr/>
          <w:p>
            <w:pPr>
              <w:pStyle w:val="Compact"/>
              <w:jc w:val="left"/>
            </w:pPr>
            <w:r>
              <w:t xml:space="preserve">-20°C</w:t>
            </w:r>
          </w:p>
        </w:tc>
        <w:tc>
          <w:tcPr/>
          <w:p>
            <w:pPr>
              <w:pStyle w:val="Compact"/>
              <w:jc w:val="left"/>
            </w:pPr>
            <w:r>
              <w:t xml:space="preserve">40% RH</w:t>
            </w:r>
          </w:p>
        </w:tc>
        <w:tc>
          <w:tcPr/>
          <w:p>
            <w:pPr>
              <w:pStyle w:val="Compact"/>
              <w:jc w:val="left"/>
            </w:pPr>
            <w:r>
              <w:t xml:space="preserve">4 Hours</w:t>
            </w:r>
          </w:p>
        </w:tc>
        <w:tc>
          <w:tcPr/>
          <w:p>
            <w:pPr>
              <w:pStyle w:val="Compact"/>
              <w:jc w:val="left"/>
            </w:pPr>
            <w:r>
              <w:t xml:space="preserve">N/A</w:t>
            </w:r>
          </w:p>
        </w:tc>
      </w:tr>
    </w:tbl>
    <w:p>
      <w:pPr>
        <w:pStyle w:val="BodyText"/>
      </w:pPr>
      <w:r>
        <w:t xml:space="preserve">This cycle will be repeated for 50 iterations. The</w:t>
      </w:r>
      <w:r>
        <w:t xml:space="preserve"> </w:t>
      </w:r>
      <w:r>
        <w:rPr>
          <w:bCs/>
          <w:b/>
        </w:rPr>
        <w:t xml:space="preserve">Mechanical Engineer</w:t>
      </w:r>
      <w:r>
        <w:t xml:space="preserve"> </w:t>
      </w:r>
      <w:r>
        <w:t xml:space="preserve">must monitor the chamber logs continuously to ensure no deviations occur.</w:t>
      </w:r>
    </w:p>
    <w:bookmarkEnd w:id="27"/>
    <w:bookmarkStart w:id="28" w:name="post-cycling-testing"/>
    <w:p>
      <w:pPr>
        <w:pStyle w:val="Heading3"/>
      </w:pPr>
      <w:r>
        <w:t xml:space="preserve">5.4 Post-Cycling Testing</w:t>
      </w:r>
    </w:p>
    <w:p>
      <w:pPr>
        <w:pStyle w:val="FirstParagraph"/>
      </w:pPr>
      <w:r>
        <w:t xml:space="preserve">After the completion of the thermal cycles, the samples will be allowed to equilibrate to room temperature for 24 hours. They will then undergo the same tensile testing procedure as described in section 5.2. Any visible signs of delamination, cracking, or surface degradation will be documented photographically.</w:t>
      </w:r>
    </w:p>
    <w:bookmarkEnd w:id="28"/>
    <w:bookmarkEnd w:id="29"/>
    <w:bookmarkStart w:id="30" w:name="data-analysis-and-reporting"/>
    <w:p>
      <w:pPr>
        <w:pStyle w:val="Heading2"/>
      </w:pPr>
      <w:r>
        <w:t xml:space="preserve">6. Data Analysis and Reporting</w:t>
      </w:r>
    </w:p>
    <w:p>
      <w:pPr>
        <w:pStyle w:val="FirstParagraph"/>
      </w:pPr>
      <w:r>
        <w:t xml:space="preserve">The collected data will be analyzed to calculate the percentage reduction in tensile strength and modulus of elasticity compared to the baseline samples. The results will be plotted to identify any trends related to the number of thermal cycles.</w:t>
      </w:r>
    </w:p>
    <w:p>
      <w:pPr>
        <w:pStyle w:val="BodyText"/>
      </w:pPr>
      <w:r>
        <w:t xml:space="preserve">The final report must include:</w:t>
      </w:r>
    </w:p>
    <w:p>
      <w:pPr>
        <w:numPr>
          <w:ilvl w:val="0"/>
          <w:numId w:val="1003"/>
        </w:numPr>
        <w:pStyle w:val="Compact"/>
      </w:pPr>
      <w:r>
        <w:t xml:space="preserve">A detailed summary of the experimental conditions.</w:t>
      </w:r>
    </w:p>
    <w:p>
      <w:pPr>
        <w:numPr>
          <w:ilvl w:val="0"/>
          <w:numId w:val="1003"/>
        </w:numPr>
        <w:pStyle w:val="Compact"/>
      </w:pPr>
      <w:r>
        <w:t xml:space="preserve">Statistical analysis of the mechanical property degradation.</w:t>
      </w:r>
    </w:p>
    <w:p>
      <w:pPr>
        <w:numPr>
          <w:ilvl w:val="0"/>
          <w:numId w:val="1003"/>
        </w:numPr>
        <w:pStyle w:val="Compact"/>
      </w:pPr>
      <w:r>
        <w:t xml:space="preserve">Recommendations for material usage in aerospace applications within the</w:t>
      </w:r>
      <w:r>
        <w:t xml:space="preserve"> </w:t>
      </w:r>
      <w:r>
        <w:rPr>
          <w:bCs/>
          <w:b/>
        </w:rPr>
        <w:t xml:space="preserve">Tel Aviv</w:t>
      </w:r>
      <w:r>
        <w:t xml:space="preserve"> </w:t>
      </w:r>
      <w:r>
        <w:t xml:space="preserve">region and similar climates.</w:t>
      </w:r>
    </w:p>
    <w:p>
      <w:pPr>
        <w:numPr>
          <w:ilvl w:val="0"/>
          <w:numId w:val="1003"/>
        </w:numPr>
        <w:pStyle w:val="Compact"/>
      </w:pPr>
      <w:r>
        <w:t xml:space="preserve">Compliance verification with SII standards.</w:t>
      </w:r>
    </w:p>
    <w:bookmarkEnd w:id="30"/>
    <w:bookmarkStart w:id="31" w:name="conclusion"/>
    <w:p>
      <w:pPr>
        <w:pStyle w:val="Heading2"/>
      </w:pPr>
      <w:r>
        <w:t xml:space="preserve">7. Conclusion</w:t>
      </w:r>
    </w:p>
    <w:p>
      <w:pPr>
        <w:pStyle w:val="FirstParagraph"/>
      </w:pPr>
      <w:r>
        <w:t xml:space="preserve">This Experiment Protocol ensures that the mechanical properties of the selected composites are thoroughly evaluated under conditions relevant to their intended operational environment. By adhering to this protocol, the</w:t>
      </w:r>
      <w:r>
        <w:t xml:space="preserve"> </w:t>
      </w:r>
      <w:r>
        <w:rPr>
          <w:bCs/>
          <w:b/>
        </w:rPr>
        <w:t xml:space="preserve">Mechanical Engineer</w:t>
      </w:r>
      <w:r>
        <w:t xml:space="preserve"> </w:t>
      </w:r>
      <w:r>
        <w:t xml:space="preserve">can make informed decisions regarding material selection, ensuring safety, reliability, and performance in the demanding conditions of</w:t>
      </w:r>
      <w:r>
        <w:t xml:space="preserve"> </w:t>
      </w:r>
      <w:r>
        <w:rPr>
          <w:bCs/>
          <w:b/>
        </w:rPr>
        <w:t xml:space="preserve">Israel Tel Aviv</w:t>
      </w:r>
      <w:r>
        <w:t xml:space="preserve">.</w:t>
      </w:r>
    </w:p>
    <w:p>
      <w:pPr>
        <w:pStyle w:val="BodyText"/>
      </w:pPr>
      <w:r>
        <w:rPr>
          <w:bCs/>
          <w:b/>
        </w:rPr>
        <w:t xml:space="preserve">Lead Mechanical Engineer Signature:</w:t>
      </w:r>
    </w:p>
    <w:p>
      <w:pPr>
        <w:pStyle w:val="BodyText"/>
      </w:pPr>
      <w:r>
        <w:t xml:space="preserve">__________________________</w:t>
      </w:r>
    </w:p>
    <w:p>
      <w:pPr>
        <w:pStyle w:val="BodyText"/>
      </w:pPr>
      <w:r>
        <w:t xml:space="preserve">Dr. Yael Cohen</w:t>
      </w:r>
    </w:p>
    <w:p>
      <w:pPr>
        <w:pStyle w:val="BodyText"/>
      </w:pPr>
      <w:r>
        <w:rPr>
          <w:bCs/>
          <w:b/>
        </w:rPr>
        <w:t xml:space="preserve">Quality Assurance Manager Signature:</w:t>
      </w:r>
    </w:p>
    <w:p>
      <w:pPr>
        <w:pStyle w:val="BodyText"/>
      </w:pPr>
      <w:r>
        <w:t xml:space="preserve">__________________________</w:t>
      </w:r>
    </w:p>
    <w:p>
      <w:pPr>
        <w:pStyle w:val="BodyText"/>
      </w:pPr>
      <w:r>
        <w:t xml:space="preserve">Mr. David Levi</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Thermal Stress Analysis of Composite Materials</dc:title>
  <dc:creator/>
  <dc:language>en</dc:language>
  <cp:keywords/>
  <dcterms:created xsi:type="dcterms:W3CDTF">2026-10-10T01:13:44Z</dcterms:created>
  <dcterms:modified xsi:type="dcterms:W3CDTF">2026-10-10T01:13:44Z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