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Mechanical</w:t>
      </w:r>
      <w:r>
        <w:t xml:space="preserve"> </w:t>
      </w:r>
      <w:r>
        <w:t xml:space="preserve">Engineer</w:t>
      </w:r>
      <w:r>
        <w:t xml:space="preserve"> </w:t>
      </w:r>
      <w:r>
        <w:t xml:space="preserve">-</w:t>
      </w:r>
      <w:r>
        <w:t xml:space="preserve"> </w:t>
      </w:r>
      <w:r>
        <w:t xml:space="preserve">Japan</w:t>
      </w:r>
      <w:r>
        <w:t xml:space="preserve"> </w:t>
      </w:r>
      <w:r>
        <w:t xml:space="preserve">Tokyo</w:t>
      </w:r>
    </w:p>
    <w:bookmarkStart w:id="31" w:name="X44ededebbbf53ecd724ea7bba5fa613bd2ef87c"/>
    <w:p>
      <w:pPr>
        <w:pStyle w:val="Heading1"/>
      </w:pPr>
      <w:r>
        <w:t xml:space="preserve">Experiment Protocol: Advanced Mechanical Systems Testing</w:t>
      </w:r>
    </w:p>
    <w:p>
      <w:pPr>
        <w:pStyle w:val="FirstParagraph"/>
      </w:pPr>
      <w:r>
        <w:rPr>
          <w:bCs/>
          <w:b/>
        </w:rPr>
        <w:t xml:space="preserve">Document ID:</w:t>
      </w:r>
      <w:r>
        <w:t xml:space="preserve"> </w:t>
      </w:r>
      <w:r>
        <w:t xml:space="preserve">JP-TKY-ME-2024-001</w:t>
      </w:r>
      <w:r>
        <w:br/>
      </w:r>
      <w:r>
        <w:rPr>
          <w:bCs/>
          <w:b/>
        </w:rPr>
        <w:t xml:space="preserve">Version:</w:t>
      </w:r>
      <w:r>
        <w:t xml:space="preserve"> </w:t>
      </w:r>
      <w:r>
        <w:t xml:space="preserve">1.0</w:t>
      </w:r>
      <w:r>
        <w:br/>
      </w:r>
      <w:r>
        <w:rPr>
          <w:bCs/>
          <w:b/>
        </w:rPr>
        <w:t xml:space="preserve">Date:</w:t>
      </w:r>
      <w:r>
        <w:t xml:space="preserve"> </w:t>
      </w:r>
      <w:r>
        <w:t xml:space="preserve">October 26, 2024</w:t>
      </w:r>
    </w:p>
    <w:p>
      <w:pPr>
        <w:pStyle w:val="BodyText"/>
      </w:pPr>
      <w:r>
        <w:rPr>
          <w:bCs/>
          <w:b/>
        </w:rPr>
        <w:t xml:space="preserve">Location:</w:t>
      </w:r>
      <w:r>
        <w:t xml:space="preserve"> </w:t>
      </w:r>
      <w:r>
        <w:t xml:space="preserve">Research Laboratory, Japan Tokyo</w:t>
      </w:r>
      <w:r>
        <w:br/>
      </w:r>
      <w:r>
        <w:rPr>
          <w:bCs/>
          <w:b/>
        </w:rPr>
        <w:t xml:space="preserve">Role:</w:t>
      </w:r>
      <w:r>
        <w:t xml:space="preserve"> </w:t>
      </w:r>
      <w:r>
        <w:t xml:space="preserve">Mechanical Engineer</w:t>
      </w:r>
      <w:r>
        <w:br/>
      </w:r>
      <w:r>
        <w:rPr>
          <w:bCs/>
          <w:b/>
        </w:rPr>
        <w:t xml:space="preserve">Classification:</w:t>
      </w:r>
      <w:r>
        <w:t xml:space="preserve"> </w:t>
      </w:r>
      <w:r>
        <w:t xml:space="preserve">Internal Use Only</w:t>
      </w:r>
    </w:p>
    <w:bookmarkStart w:id="20" w:name="introduction-and-objective"/>
    <w:p>
      <w:pPr>
        <w:pStyle w:val="Heading2"/>
      </w:pPr>
      <w:r>
        <w:t xml:space="preserve">1. Introduction and Objective</w:t>
      </w:r>
    </w:p>
    <w:p>
      <w:pPr>
        <w:pStyle w:val="FirstParagraph"/>
      </w:pPr>
      <w:r>
        <w:t xml:space="preserve">This Experiment Protocol outlines the standardized procedures for conducting mechanical stress and thermal analysis on high-precision components. This document is specifically designed for the Mechanical Engineer operating within the research facilities located in Japan Tokyo. The primary objective is to ensure that all experimental data collected meets the rigorous quality standards expected by Japanese industrial partners and international regulatory bodies.</w:t>
      </w:r>
    </w:p>
    <w:p>
      <w:pPr>
        <w:pStyle w:val="BodyText"/>
      </w:pPr>
      <w:r>
        <w:t xml:space="preserve">Given the high-tech manufacturing environment of Japan Tokyo, this protocol emphasizes precision, safety, and adherence to local environmental regulations. The Mechanical Engineer is responsible for executing these tests to validate the durability of materials under simulated operational conditions.</w:t>
      </w:r>
    </w:p>
    <w:bookmarkEnd w:id="20"/>
    <w:bookmarkStart w:id="21" w:name="scope-and-applicability"/>
    <w:p>
      <w:pPr>
        <w:pStyle w:val="Heading2"/>
      </w:pPr>
      <w:r>
        <w:t xml:space="preserve">2. Scope and Applicability</w:t>
      </w:r>
    </w:p>
    <w:p>
      <w:pPr>
        <w:pStyle w:val="FirstParagraph"/>
      </w:pPr>
      <w:r>
        <w:t xml:space="preserve">This protocol applies to all mechanical testing activities conducted at the Tokyo facility. It covers the preparation, execution, and documentation phases of the experiment. The Mechanical Engineer must ensure that all equipment used is calibrated according to Japanese Industrial Standards (JIS).</w:t>
      </w:r>
    </w:p>
    <w:p>
      <w:pPr>
        <w:numPr>
          <w:ilvl w:val="0"/>
          <w:numId w:val="1001"/>
        </w:numPr>
        <w:pStyle w:val="Compact"/>
      </w:pPr>
      <w:r>
        <w:t xml:space="preserve">Material Stress Testing</w:t>
      </w:r>
    </w:p>
    <w:p>
      <w:pPr>
        <w:numPr>
          <w:ilvl w:val="0"/>
          <w:numId w:val="1001"/>
        </w:numPr>
        <w:pStyle w:val="Compact"/>
      </w:pPr>
      <w:r>
        <w:t xml:space="preserve">Thermal Expansion Analysis</w:t>
      </w:r>
    </w:p>
    <w:p>
      <w:pPr>
        <w:numPr>
          <w:ilvl w:val="0"/>
          <w:numId w:val="1001"/>
        </w:numPr>
        <w:pStyle w:val="Compact"/>
      </w:pPr>
      <w:r>
        <w:t xml:space="preserve">Vibration Damping Evaluation</w:t>
      </w:r>
    </w:p>
    <w:bookmarkEnd w:id="21"/>
    <w:bookmarkStart w:id="22" w:name="safety-and-compliance"/>
    <w:p>
      <w:pPr>
        <w:pStyle w:val="Heading2"/>
      </w:pPr>
      <w:r>
        <w:t xml:space="preserve">3. Safety and Compliance</w:t>
      </w:r>
    </w:p>
    <w:p>
      <w:pPr>
        <w:pStyle w:val="FirstParagraph"/>
      </w:pPr>
      <w:r>
        <w:t xml:space="preserve">Safety is paramount in the Japan Tokyo laboratory environment. The Mechanical Engineer must strictly adhere to the following safety guidelines before commencing any experiment:</w:t>
      </w:r>
    </w:p>
    <w:p>
      <w:pPr>
        <w:numPr>
          <w:ilvl w:val="0"/>
          <w:numId w:val="1002"/>
        </w:numPr>
        <w:pStyle w:val="Compact"/>
      </w:pPr>
      <w:r>
        <w:rPr>
          <w:bCs/>
          <w:b/>
        </w:rPr>
        <w:t xml:space="preserve">Personal Protective Equipment (PPE):</w:t>
      </w:r>
      <w:r>
        <w:t xml:space="preserve"> </w:t>
      </w:r>
      <w:r>
        <w:t xml:space="preserve">Wear safety goggles, steel-toed boots, and heat-resistant gloves as required by the specific test.</w:t>
      </w:r>
    </w:p>
    <w:p>
      <w:pPr>
        <w:numPr>
          <w:ilvl w:val="0"/>
          <w:numId w:val="1002"/>
        </w:numPr>
        <w:pStyle w:val="Compact"/>
      </w:pPr>
      <w:r>
        <w:rPr>
          <w:bCs/>
          <w:b/>
        </w:rPr>
        <w:t xml:space="preserve">Emergency Procedures:</w:t>
      </w:r>
      <w:r>
        <w:t xml:space="preserve"> </w:t>
      </w:r>
      <w:r>
        <w:t xml:space="preserve">Familiarize yourself with the emergency evacuation routes specific to the Tokyo building layout. In case of an incident, contact the local emergency services using the designated number posted in the lab.</w:t>
      </w:r>
    </w:p>
    <w:p>
      <w:pPr>
        <w:numPr>
          <w:ilvl w:val="0"/>
          <w:numId w:val="1002"/>
        </w:numPr>
        <w:pStyle w:val="Compact"/>
      </w:pPr>
      <w:r>
        <w:rPr>
          <w:bCs/>
          <w:b/>
        </w:rPr>
        <w:t xml:space="preserve">Regulatory Compliance:</w:t>
      </w:r>
      <w:r>
        <w:t xml:space="preserve"> </w:t>
      </w:r>
      <w:r>
        <w:t xml:space="preserve">Ensure all waste disposal methods comply with Tokyo Metropolitan Government environmental regulations.</w:t>
      </w:r>
    </w:p>
    <w:p>
      <w:pPr>
        <w:pStyle w:val="FirstParagraph"/>
      </w:pPr>
      <w:r>
        <w:rPr>
          <w:bCs/>
          <w:b/>
        </w:rPr>
        <w:t xml:space="preserve">Note:</w:t>
      </w:r>
      <w:r>
        <w:t xml:space="preserve"> </w:t>
      </w:r>
      <w:r>
        <w:t xml:space="preserve">Failure to comply with safety protocols may result in immediate suspension of experimental privileges.</w:t>
      </w:r>
    </w:p>
    <w:bookmarkEnd w:id="22"/>
    <w:bookmarkStart w:id="23" w:name="equipment-and-materials"/>
    <w:p>
      <w:pPr>
        <w:pStyle w:val="Heading2"/>
      </w:pPr>
      <w:r>
        <w:t xml:space="preserve">4. Equipment and Materials</w:t>
      </w:r>
    </w:p>
    <w:p>
      <w:pPr>
        <w:pStyle w:val="FirstParagraph"/>
      </w:pPr>
      <w:r>
        <w:t xml:space="preserve">The Mechanical Engineer must verify the availability and calibration status of the following equipment prior to starting the experiment: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Calibration Standard</w:t>
            </w:r>
          </w:p>
        </w:tc>
      </w:tr>
      <w:tr>
        <w:tc>
          <w:tcPr/>
          <w:p>
            <w:pPr>
              <w:pStyle w:val="Compact"/>
              <w:jc w:val="left"/>
            </w:pPr>
            <w:r>
              <w:t xml:space="preserve">Universal Testing Machine</w:t>
            </w:r>
          </w:p>
        </w:tc>
        <w:tc>
          <w:tcPr/>
          <w:p>
            <w:pPr>
              <w:pStyle w:val="Compact"/>
              <w:jc w:val="left"/>
            </w:pPr>
            <w:r>
              <w:t xml:space="preserve">Capacity: 500 kN</w:t>
            </w:r>
          </w:p>
        </w:tc>
        <w:tc>
          <w:tcPr/>
          <w:p>
            <w:pPr>
              <w:pStyle w:val="Compact"/>
              <w:jc w:val="left"/>
            </w:pPr>
            <w:r>
              <w:t xml:space="preserve">JIS Z 2241</w:t>
            </w:r>
          </w:p>
        </w:tc>
      </w:tr>
      <w:tr>
        <w:tc>
          <w:tcPr/>
          <w:p>
            <w:pPr>
              <w:pStyle w:val="Compact"/>
              <w:jc w:val="left"/>
            </w:pPr>
            <w:r>
              <w:t xml:space="preserve">Thermal Chamber</w:t>
            </w:r>
          </w:p>
        </w:tc>
        <w:tc>
          <w:tcPr/>
          <w:p>
            <w:pPr>
              <w:pStyle w:val="Compact"/>
              <w:jc w:val="left"/>
            </w:pPr>
            <w:r>
              <w:t xml:space="preserve">Range: -40°C to 150°C</w:t>
            </w:r>
          </w:p>
        </w:tc>
        <w:tc>
          <w:tcPr/>
          <w:p>
            <w:pPr>
              <w:pStyle w:val="Compact"/>
              <w:jc w:val="left"/>
            </w:pPr>
            <w:r>
              <w:t xml:space="preserve">JIS C 60068</w:t>
            </w:r>
          </w:p>
        </w:tc>
      </w:tr>
      <w:tr>
        <w:tc>
          <w:tcPr/>
          <w:p>
            <w:pPr>
              <w:pStyle w:val="Compact"/>
              <w:jc w:val="left"/>
            </w:pPr>
            <w:r>
              <w:t xml:space="preserve">Vibration Table</w:t>
            </w:r>
          </w:p>
        </w:tc>
        <w:tc>
          <w:tcPr/>
          <w:p>
            <w:pPr>
              <w:pStyle w:val="Compact"/>
              <w:jc w:val="left"/>
            </w:pPr>
            <w:r>
              <w:t xml:space="preserve">Frequency: 5 Hz to 2000 Hz</w:t>
            </w:r>
          </w:p>
        </w:tc>
        <w:tc>
          <w:tcPr/>
          <w:p>
            <w:pPr>
              <w:pStyle w:val="Compact"/>
              <w:jc w:val="left"/>
            </w:pPr>
            <w:r>
              <w:t xml:space="preserve">JIS K 7171</w:t>
            </w:r>
          </w:p>
        </w:tc>
      </w:tr>
      <w:tr>
        <w:tc>
          <w:tcPr/>
          <w:p>
            <w:pPr>
              <w:pStyle w:val="Compact"/>
              <w:jc w:val="left"/>
            </w:pPr>
            <w:r>
              <w:t xml:space="preserve">Data Acquisition System</w:t>
            </w:r>
          </w:p>
        </w:tc>
        <w:tc>
          <w:tcPr/>
          <w:p>
            <w:pPr>
              <w:pStyle w:val="Compact"/>
              <w:jc w:val="left"/>
            </w:pPr>
            <w:r>
              <w:t xml:space="preserve">Sampling Rate: 10 kHz</w:t>
            </w:r>
          </w:p>
        </w:tc>
        <w:tc>
          <w:tcPr/>
          <w:p>
            <w:pPr>
              <w:pStyle w:val="Compact"/>
              <w:jc w:val="left"/>
            </w:pPr>
            <w:r>
              <w:t xml:space="preserve">ISO 9001</w:t>
            </w:r>
          </w:p>
        </w:tc>
      </w:tr>
    </w:tbl>
    <w:bookmarkEnd w:id="23"/>
    <w:bookmarkStart w:id="27" w:name="experimental-procedure"/>
    <w:p>
      <w:pPr>
        <w:pStyle w:val="Heading2"/>
      </w:pPr>
      <w:r>
        <w:t xml:space="preserve">5. Experimental Procedure</w:t>
      </w:r>
    </w:p>
    <w:p>
      <w:pPr>
        <w:pStyle w:val="FirstParagraph"/>
      </w:pPr>
      <w:r>
        <w:t xml:space="preserve">The Mechanical Engineer shall follow the steps below to conduct the experiment. Each step must be documented in the laboratory logbook.</w:t>
      </w:r>
    </w:p>
    <w:bookmarkStart w:id="24" w:name="preparation-phase"/>
    <w:p>
      <w:pPr>
        <w:pStyle w:val="Heading3"/>
      </w:pPr>
      <w:r>
        <w:t xml:space="preserve">5.1 Preparation Phase</w:t>
      </w:r>
    </w:p>
    <w:p>
      <w:pPr>
        <w:numPr>
          <w:ilvl w:val="0"/>
          <w:numId w:val="1003"/>
        </w:numPr>
        <w:pStyle w:val="Compact"/>
      </w:pPr>
      <w:r>
        <w:t xml:space="preserve">Inspect the test specimens for any visible defects or irregularities.</w:t>
      </w:r>
    </w:p>
    <w:p>
      <w:pPr>
        <w:numPr>
          <w:ilvl w:val="0"/>
          <w:numId w:val="1003"/>
        </w:numPr>
        <w:pStyle w:val="Compact"/>
      </w:pPr>
      <w:r>
        <w:t xml:space="preserve">Calibrate all sensors and measurement devices according to the manufacturer's instructions and JIS standards.</w:t>
      </w:r>
    </w:p>
    <w:p>
      <w:pPr>
        <w:numPr>
          <w:ilvl w:val="0"/>
          <w:numId w:val="1003"/>
        </w:numPr>
        <w:pStyle w:val="Compact"/>
      </w:pPr>
      <w:r>
        <w:t xml:space="preserve">Set up the data acquisition system and verify connectivity with the central server in the Tokyo facility.</w:t>
      </w:r>
    </w:p>
    <w:bookmarkEnd w:id="24"/>
    <w:bookmarkStart w:id="25" w:name="execution-phase"/>
    <w:p>
      <w:pPr>
        <w:pStyle w:val="Heading3"/>
      </w:pPr>
      <w:r>
        <w:t xml:space="preserve">5.2 Execution Phase</w:t>
      </w:r>
    </w:p>
    <w:p>
      <w:pPr>
        <w:numPr>
          <w:ilvl w:val="0"/>
          <w:numId w:val="1004"/>
        </w:numPr>
        <w:pStyle w:val="Compact"/>
      </w:pPr>
      <w:r>
        <w:t xml:space="preserve">Mount the specimen securely in the testing machine, ensuring alignment to prevent eccentric loading.</w:t>
      </w:r>
    </w:p>
    <w:p>
      <w:pPr>
        <w:numPr>
          <w:ilvl w:val="0"/>
          <w:numId w:val="1004"/>
        </w:numPr>
        <w:pStyle w:val="Compact"/>
      </w:pPr>
      <w:r>
        <w:t xml:space="preserve">Initiate the test sequence, gradually increasing the load or temperature as per the predefined parameters.</w:t>
      </w:r>
    </w:p>
    <w:p>
      <w:pPr>
        <w:numPr>
          <w:ilvl w:val="0"/>
          <w:numId w:val="1004"/>
        </w:numPr>
        <w:pStyle w:val="Compact"/>
      </w:pPr>
      <w:r>
        <w:t xml:space="preserve">Monitor the real-time data for any anomalies. If unexpected behavior is observed, pause the test and consult with the senior Mechanical Engineer.</w:t>
      </w:r>
    </w:p>
    <w:p>
      <w:pPr>
        <w:numPr>
          <w:ilvl w:val="0"/>
          <w:numId w:val="1004"/>
        </w:numPr>
        <w:pStyle w:val="Compact"/>
      </w:pPr>
      <w:r>
        <w:t xml:space="preserve">Continue the test until the specimen reaches failure or the maximum specified limit.</w:t>
      </w:r>
    </w:p>
    <w:bookmarkEnd w:id="25"/>
    <w:bookmarkStart w:id="26" w:name="post-test-phase"/>
    <w:p>
      <w:pPr>
        <w:pStyle w:val="Heading3"/>
      </w:pPr>
      <w:r>
        <w:t xml:space="preserve">5.3 Post-Test Phase</w:t>
      </w:r>
    </w:p>
    <w:p>
      <w:pPr>
        <w:numPr>
          <w:ilvl w:val="0"/>
          <w:numId w:val="1005"/>
        </w:numPr>
        <w:pStyle w:val="Compact"/>
      </w:pPr>
      <w:r>
        <w:t xml:space="preserve">Safely remove the specimen from the testing equipment.</w:t>
      </w:r>
    </w:p>
    <w:p>
      <w:pPr>
        <w:numPr>
          <w:ilvl w:val="0"/>
          <w:numId w:val="1005"/>
        </w:numPr>
        <w:pStyle w:val="Compact"/>
      </w:pPr>
      <w:r>
        <w:t xml:space="preserve">Document any physical changes or failure modes observed in the specimen.</w:t>
      </w:r>
    </w:p>
    <w:p>
      <w:pPr>
        <w:numPr>
          <w:ilvl w:val="0"/>
          <w:numId w:val="1005"/>
        </w:numPr>
        <w:pStyle w:val="Compact"/>
      </w:pPr>
      <w:r>
        <w:t xml:space="preserve">Export the raw data to the secure storage system and label it with the experiment ID.</w:t>
      </w:r>
    </w:p>
    <w:bookmarkEnd w:id="26"/>
    <w:bookmarkEnd w:id="27"/>
    <w:bookmarkStart w:id="28" w:name="data-analysis-and-reporting"/>
    <w:p>
      <w:pPr>
        <w:pStyle w:val="Heading2"/>
      </w:pPr>
      <w:r>
        <w:t xml:space="preserve">6. Data Analysis and Reporting</w:t>
      </w:r>
    </w:p>
    <w:p>
      <w:pPr>
        <w:pStyle w:val="FirstParagraph"/>
      </w:pPr>
      <w:r>
        <w:t xml:space="preserve">The Mechanical Engineer is responsible for analyzing the collected data and preparing a comprehensive report. The report should include:</w:t>
      </w:r>
    </w:p>
    <w:p>
      <w:pPr>
        <w:numPr>
          <w:ilvl w:val="0"/>
          <w:numId w:val="1006"/>
        </w:numPr>
        <w:pStyle w:val="Compact"/>
      </w:pPr>
      <w:r>
        <w:t xml:space="preserve">Summary of experimental conditions and parameters.</w:t>
      </w:r>
    </w:p>
    <w:p>
      <w:pPr>
        <w:numPr>
          <w:ilvl w:val="0"/>
          <w:numId w:val="1006"/>
        </w:numPr>
        <w:pStyle w:val="Compact"/>
      </w:pPr>
      <w:r>
        <w:t xml:space="preserve">Graphical representation of stress-strain curves or thermal response data.</w:t>
      </w:r>
    </w:p>
    <w:p>
      <w:pPr>
        <w:numPr>
          <w:ilvl w:val="0"/>
          <w:numId w:val="1006"/>
        </w:numPr>
        <w:pStyle w:val="Compact"/>
      </w:pPr>
      <w:r>
        <w:t xml:space="preserve">Comparison of results with theoretical predictions and previous experiments.</w:t>
      </w:r>
    </w:p>
    <w:p>
      <w:pPr>
        <w:numPr>
          <w:ilvl w:val="0"/>
          <w:numId w:val="1006"/>
        </w:numPr>
        <w:pStyle w:val="Compact"/>
      </w:pPr>
      <w:r>
        <w:t xml:space="preserve">Conclusions and recommendations for design improvements.</w:t>
      </w:r>
    </w:p>
    <w:p>
      <w:pPr>
        <w:pStyle w:val="FirstParagraph"/>
      </w:pPr>
      <w:r>
        <w:t xml:space="preserve">All reports must be submitted in English to facilitate communication with international stakeholders, while also maintaining a Japanese version for local regulatory compliance in Japan Tokyo.</w:t>
      </w:r>
    </w:p>
    <w:bookmarkEnd w:id="28"/>
    <w:bookmarkStart w:id="29" w:name="quality-assurance"/>
    <w:p>
      <w:pPr>
        <w:pStyle w:val="Heading2"/>
      </w:pPr>
      <w:r>
        <w:t xml:space="preserve">7. Quality Assurance</w:t>
      </w:r>
    </w:p>
    <w:p>
      <w:pPr>
        <w:pStyle w:val="FirstParagraph"/>
      </w:pPr>
      <w:r>
        <w:t xml:space="preserve">To ensure the reliability of the experimental results, the Mechanical Engineer must participate in regular quality assurance audits. These audits will review the adherence to this Experiment Protocol and the accuracy of the data recorded. Any deviations from the protocol must be documented and justified.</w:t>
      </w:r>
    </w:p>
    <w:bookmarkEnd w:id="29"/>
    <w:bookmarkStart w:id="30" w:name="conclusion"/>
    <w:p>
      <w:pPr>
        <w:pStyle w:val="Heading2"/>
      </w:pPr>
      <w:r>
        <w:t xml:space="preserve">8. Conclusion</w:t>
      </w:r>
    </w:p>
    <w:p>
      <w:pPr>
        <w:pStyle w:val="FirstParagraph"/>
      </w:pPr>
      <w:r>
        <w:t xml:space="preserve">This Experiment Protocol serves as a critical guide for the Mechanical Engineer conducting tests in Japan Tokyo. By following these procedures, we ensure the highest standards of safety, accuracy, and compliance. The Mechanical Engineer plays a vital role in advancing our understanding of mechanical systems and contributing to the technological excellence associated with Japanese engineering.</w:t>
      </w:r>
    </w:p>
    <w:p>
      <w:pPr>
        <w:pStyle w:val="BodyText"/>
      </w:pPr>
      <w:r>
        <w:t xml:space="preserve">Document prepared for internal use only. Unauthorized distribution is prohibited.</w:t>
      </w:r>
      <w:r>
        <w:br/>
      </w:r>
      <w:r>
        <w:t xml:space="preserve">Last updated: October 26, 2024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Mechanical Engineer - Japan Tokyo</dc:title>
  <dc:creator/>
  <dc:language>en</dc:language>
  <cp:keywords/>
  <dcterms:created xsi:type="dcterms:W3CDTF">2026-10-10T02:09:11Z</dcterms:created>
  <dcterms:modified xsi:type="dcterms:W3CDTF">2026-10-10T02:09:11Z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