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X63717eb80aeccabc631afa5ba8d664c4b07d5d8"/>
    <w:p>
      <w:pPr>
        <w:pStyle w:val="Heading1"/>
      </w:pPr>
      <w:r>
        <w:t xml:space="preserve">Experiment Protocol: Mechanical Engineer in Myanmar Yangon</w:t>
      </w:r>
    </w:p>
    <w:p>
      <w:pPr>
        <w:pStyle w:val="FirstParagraph"/>
      </w:pPr>
      <w:r>
        <w:rPr>
          <w:bCs/>
          <w:b/>
        </w:rPr>
        <w:t xml:space="preserve">Document ID:</w:t>
      </w:r>
      <w:r>
        <w:t xml:space="preserve"> </w:t>
      </w:r>
      <w:r>
        <w:t xml:space="preserve">ME-YGN-EXP-2024-001</w:t>
      </w:r>
    </w:p>
    <w:p>
      <w:pPr>
        <w:pStyle w:val="BodyText"/>
      </w:pPr>
      <w:r>
        <w:rPr>
          <w:bCs/>
          <w:b/>
        </w:rPr>
        <w:t xml:space="preserve">Location:</w:t>
      </w:r>
      <w:r>
        <w:t xml:space="preserve"> </w:t>
      </w:r>
      <w:r>
        <w:t xml:space="preserve">Yangon, Myanmar</w:t>
      </w:r>
    </w:p>
    <w:p>
      <w:pPr>
        <w:pStyle w:val="BodyText"/>
      </w:pPr>
      <w:r>
        <w:rPr>
          <w:bCs/>
          <w:b/>
        </w:rPr>
        <w:t xml:space="preserve">Prepared By:</w:t>
      </w:r>
      <w:r>
        <w:t xml:space="preserve"> </w:t>
      </w:r>
      <w:r>
        <w:t xml:space="preserve">Mechanical Engineering Research Division</w:t>
      </w:r>
    </w:p>
    <w:p>
      <w:pPr>
        <w:pStyle w:val="BodyText"/>
      </w:pPr>
      <w:r>
        <w:rPr>
          <w:bCs/>
          <w:b/>
        </w:rPr>
        <w:t xml:space="preserve">Date:</w:t>
      </w:r>
      <w:r>
        <w:t xml:space="preserve"> </w:t>
      </w:r>
      <w:r>
        <w:t xml:space="preserve">October 2024</w:t>
      </w:r>
    </w:p>
    <w:bookmarkEnd w:id="20"/>
    <w:bookmarkStart w:id="21" w:name="introduction-and-purpose"/>
    <w:p>
      <w:pPr>
        <w:pStyle w:val="Heading2"/>
      </w:pPr>
      <w:r>
        <w:t xml:space="preserve">1. Introduction and Purpose</w:t>
      </w:r>
    </w:p>
    <w:p>
      <w:pPr>
        <w:pStyle w:val="FirstParagraph"/>
      </w:pPr>
      <w:r>
        <w:t xml:space="preserve">This Experiment Protocol outlines the procedures, safety measures, and technical requirements for conducting mechanical engineering experiments in Yangon, Myanmar. The purpose of this document is to ensure that all experiments are conducted safely, efficiently, and in compliance with local regulations and international standards. The protocol is specifically designed for Mechanical Engineers working in industrial, academic, or research settings in Yangon, addressing the unique environmental and operational conditions of the region.</w:t>
      </w:r>
    </w:p>
    <w:p>
      <w:pPr>
        <w:pStyle w:val="BodyText"/>
      </w:pPr>
      <w:r>
        <w:t xml:space="preserve">Yangon, as the largest city and former capital of Myanmar, presents specific challenges and opportunities for mechanical engineering experiments. These include high humidity, tropical weather patterns, varying power supply stability, and local material availability. This protocol adapts standard mechanical engineering practices to these conditions, ensuring reliable and reproducible results.</w:t>
      </w:r>
    </w:p>
    <w:bookmarkEnd w:id="21"/>
    <w:bookmarkStart w:id="22" w:name="scope-and-applicability"/>
    <w:p>
      <w:pPr>
        <w:pStyle w:val="Heading2"/>
      </w:pPr>
      <w:r>
        <w:t xml:space="preserve">2. Scope and Applicability</w:t>
      </w:r>
    </w:p>
    <w:p>
      <w:pPr>
        <w:pStyle w:val="FirstParagraph"/>
      </w:pPr>
      <w:r>
        <w:t xml:space="preserve">This protocol applies to all Mechanical Engineers, technicians, and support staff involved in experimental activities within Yangon. It covers:</w:t>
      </w:r>
    </w:p>
    <w:p>
      <w:pPr>
        <w:numPr>
          <w:ilvl w:val="0"/>
          <w:numId w:val="1001"/>
        </w:numPr>
        <w:pStyle w:val="Compact"/>
      </w:pPr>
      <w:r>
        <w:t xml:space="preserve">Design and setup of mechanical test rigs and equipment.</w:t>
      </w:r>
    </w:p>
    <w:p>
      <w:pPr>
        <w:numPr>
          <w:ilvl w:val="0"/>
          <w:numId w:val="1001"/>
        </w:numPr>
        <w:pStyle w:val="Compact"/>
      </w:pPr>
      <w:r>
        <w:t xml:space="preserve">Calibration and maintenance of instruments under local environmental conditions.</w:t>
      </w:r>
    </w:p>
    <w:p>
      <w:pPr>
        <w:numPr>
          <w:ilvl w:val="0"/>
          <w:numId w:val="1001"/>
        </w:numPr>
        <w:pStyle w:val="Compact"/>
      </w:pPr>
      <w:r>
        <w:t xml:space="preserve">Data collection, analysis, and reporting procedures.</w:t>
      </w:r>
    </w:p>
    <w:p>
      <w:pPr>
        <w:numPr>
          <w:ilvl w:val="0"/>
          <w:numId w:val="1001"/>
        </w:numPr>
        <w:pStyle w:val="Compact"/>
      </w:pPr>
      <w:r>
        <w:t xml:space="preserve">Safety protocols tailored to Yangon’s industrial and regulatory environment.</w:t>
      </w:r>
    </w:p>
    <w:p>
      <w:pPr>
        <w:numPr>
          <w:ilvl w:val="0"/>
          <w:numId w:val="1001"/>
        </w:numPr>
        <w:pStyle w:val="Compact"/>
      </w:pPr>
      <w:r>
        <w:t xml:space="preserve">Emergency response procedures specific to the region.</w:t>
      </w:r>
    </w:p>
    <w:p>
      <w:pPr>
        <w:pStyle w:val="FirstParagraph"/>
      </w:pPr>
      <w:r>
        <w:t xml:space="preserve">The protocol is intended for use in laboratories, manufacturing facilities, and field testing sites across Yangon, including but not limited to industrial zones such as Hlaing Tharyar and Insein.</w:t>
      </w:r>
    </w:p>
    <w:bookmarkEnd w:id="22"/>
    <w:bookmarkStart w:id="23" w:name="environmental-considerations-for-yangon"/>
    <w:p>
      <w:pPr>
        <w:pStyle w:val="Heading2"/>
      </w:pPr>
      <w:r>
        <w:t xml:space="preserve">3. Environmental Considerations for Yangon</w:t>
      </w:r>
    </w:p>
    <w:p>
      <w:pPr>
        <w:pStyle w:val="FirstParagraph"/>
      </w:pPr>
      <w:r>
        <w:t xml:space="preserve">Mechanical Engineers conducting experiments in Yangon must account for the following environmental factors:</w:t>
      </w:r>
    </w:p>
    <w:p>
      <w:pPr>
        <w:numPr>
          <w:ilvl w:val="0"/>
          <w:numId w:val="1002"/>
        </w:numPr>
        <w:pStyle w:val="Compact"/>
      </w:pPr>
      <w:r>
        <w:rPr>
          <w:bCs/>
          <w:b/>
        </w:rPr>
        <w:t xml:space="preserve">Humidity:</w:t>
      </w:r>
      <w:r>
        <w:t xml:space="preserve"> </w:t>
      </w:r>
      <w:r>
        <w:t xml:space="preserve">Yangon experiences high humidity levels, particularly during the monsoon season (May to October). Equipment must be protected against moisture-induced corrosion and electrical faults.</w:t>
      </w:r>
    </w:p>
    <w:p>
      <w:pPr>
        <w:numPr>
          <w:ilvl w:val="0"/>
          <w:numId w:val="1002"/>
        </w:numPr>
        <w:pStyle w:val="Compact"/>
      </w:pPr>
      <w:r>
        <w:rPr>
          <w:bCs/>
          <w:b/>
        </w:rPr>
        <w:t xml:space="preserve">Temperature:</w:t>
      </w:r>
      <w:r>
        <w:t xml:space="preserve"> </w:t>
      </w:r>
      <w:r>
        <w:t xml:space="preserve">Average temperatures range from 25°C to 35°C. Thermal expansion and material behavior must be considered in experimental design.</w:t>
      </w:r>
    </w:p>
    <w:p>
      <w:pPr>
        <w:numPr>
          <w:ilvl w:val="0"/>
          <w:numId w:val="1002"/>
        </w:numPr>
        <w:pStyle w:val="Compact"/>
      </w:pPr>
      <w:r>
        <w:rPr>
          <w:bCs/>
          <w:b/>
        </w:rPr>
        <w:t xml:space="preserve">Power Supply:</w:t>
      </w:r>
      <w:r>
        <w:t xml:space="preserve"> </w:t>
      </w:r>
      <w:r>
        <w:t xml:space="preserve">Voltage fluctuations and occasional outages are common. Use of stabilizers, UPS systems, and backup generators is recommended.</w:t>
      </w:r>
    </w:p>
    <w:p>
      <w:pPr>
        <w:numPr>
          <w:ilvl w:val="0"/>
          <w:numId w:val="1002"/>
        </w:numPr>
        <w:pStyle w:val="Compact"/>
      </w:pPr>
      <w:r>
        <w:rPr>
          <w:bCs/>
          <w:b/>
        </w:rPr>
        <w:t xml:space="preserve">Dust and Particulates:</w:t>
      </w:r>
      <w:r>
        <w:t xml:space="preserve"> </w:t>
      </w:r>
      <w:r>
        <w:t xml:space="preserve">During the dry season, airborne dust can affect sensitive instruments. Enclosures and filtration systems should be employed.</w:t>
      </w:r>
    </w:p>
    <w:p>
      <w:pPr>
        <w:pStyle w:val="FirstParagraph"/>
      </w:pPr>
      <w:r>
        <w:rPr>
          <w:bCs/>
          <w:b/>
        </w:rPr>
        <w:t xml:space="preserve">Note:</w:t>
      </w:r>
      <w:r>
        <w:t xml:space="preserve"> </w:t>
      </w:r>
      <w:r>
        <w:t xml:space="preserve">All experimental setups must include environmental monitoring devices to log temperature, humidity, and power quality throughout the duration of the experiment.</w:t>
      </w:r>
    </w:p>
    <w:bookmarkEnd w:id="23"/>
    <w:bookmarkStart w:id="24" w:name="equipment-and-instrumentation"/>
    <w:p>
      <w:pPr>
        <w:pStyle w:val="Heading2"/>
      </w:pPr>
      <w:r>
        <w:t xml:space="preserve">4. Equipment and Instrumentation</w:t>
      </w:r>
    </w:p>
    <w:p>
      <w:pPr>
        <w:pStyle w:val="FirstParagraph"/>
      </w:pPr>
      <w:r>
        <w:t xml:space="preserve">The following guidelines apply to the selection, calibration, and use of equipment in Yangon:</w:t>
      </w:r>
    </w:p>
    <w:p>
      <w:pPr>
        <w:numPr>
          <w:ilvl w:val="0"/>
          <w:numId w:val="1003"/>
        </w:numPr>
        <w:pStyle w:val="Compact"/>
      </w:pPr>
      <w:r>
        <w:t xml:space="preserve">All instruments must be calibrated according to ISO/IEC 17025 standards or equivalent.</w:t>
      </w:r>
    </w:p>
    <w:p>
      <w:pPr>
        <w:numPr>
          <w:ilvl w:val="0"/>
          <w:numId w:val="1003"/>
        </w:numPr>
        <w:pStyle w:val="Compact"/>
      </w:pPr>
      <w:r>
        <w:t xml:space="preserve">Calibration certificates must be valid and stored on-site.</w:t>
      </w:r>
    </w:p>
    <w:p>
      <w:pPr>
        <w:numPr>
          <w:ilvl w:val="0"/>
          <w:numId w:val="1003"/>
        </w:numPr>
        <w:pStyle w:val="Compact"/>
      </w:pPr>
      <w:r>
        <w:t xml:space="preserve">Equipment susceptible to humidity or dust must be housed in climate-controlled enclosures.</w:t>
      </w:r>
    </w:p>
    <w:p>
      <w:pPr>
        <w:numPr>
          <w:ilvl w:val="0"/>
          <w:numId w:val="1003"/>
        </w:numPr>
        <w:pStyle w:val="Compact"/>
      </w:pPr>
      <w:r>
        <w:t xml:space="preserve">Power-sensitive devices must be connected through voltage stabilizers and surge protectors.</w:t>
      </w:r>
    </w:p>
    <w:p>
      <w:pPr>
        <w:numPr>
          <w:ilvl w:val="0"/>
          <w:numId w:val="1003"/>
        </w:numPr>
        <w:pStyle w:val="Compact"/>
      </w:pPr>
      <w:r>
        <w:t xml:space="preserve">Spare parts and consumables should be sourced locally where possible to minimize downtime.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w:t>
            </w:r>
          </w:p>
        </w:tc>
        <w:tc>
          <w:tcPr/>
          <w:p>
            <w:pPr>
              <w:pStyle w:val="Compact"/>
              <w:jc w:val="left"/>
            </w:pPr>
            <w:r>
              <w:t xml:space="preserve">Calibration Frequency</w:t>
            </w:r>
          </w:p>
        </w:tc>
        <w:tc>
          <w:tcPr/>
          <w:p>
            <w:pPr>
              <w:pStyle w:val="Compact"/>
              <w:jc w:val="left"/>
            </w:pPr>
            <w:r>
              <w:t xml:space="preserve">Environmental Protection</w:t>
            </w:r>
          </w:p>
        </w:tc>
      </w:tr>
      <w:tr>
        <w:tc>
          <w:tcPr/>
          <w:p>
            <w:pPr>
              <w:pStyle w:val="Compact"/>
              <w:jc w:val="left"/>
            </w:pPr>
            <w:r>
              <w:t xml:space="preserve">Load Cells</w:t>
            </w:r>
          </w:p>
        </w:tc>
        <w:tc>
          <w:tcPr/>
          <w:p>
            <w:pPr>
              <w:pStyle w:val="Compact"/>
              <w:jc w:val="left"/>
            </w:pPr>
            <w:r>
              <w:t xml:space="preserve">Every 6 months</w:t>
            </w:r>
          </w:p>
        </w:tc>
        <w:tc>
          <w:tcPr/>
          <w:p>
            <w:pPr>
              <w:pStyle w:val="Compact"/>
              <w:jc w:val="left"/>
            </w:pPr>
            <w:r>
              <w:t xml:space="preserve">Sealed housing</w:t>
            </w:r>
          </w:p>
        </w:tc>
      </w:tr>
      <w:tr>
        <w:tc>
          <w:tcPr/>
          <w:p>
            <w:pPr>
              <w:pStyle w:val="Compact"/>
              <w:jc w:val="left"/>
            </w:pPr>
            <w:r>
              <w:t xml:space="preserve">Thermocouples</w:t>
            </w:r>
          </w:p>
        </w:tc>
        <w:tc>
          <w:tcPr/>
          <w:p>
            <w:pPr>
              <w:pStyle w:val="Compact"/>
              <w:jc w:val="left"/>
            </w:pPr>
            <w:r>
              <w:t xml:space="preserve">Every 12 months</w:t>
            </w:r>
          </w:p>
        </w:tc>
        <w:tc>
          <w:tcPr/>
          <w:p>
            <w:pPr>
              <w:pStyle w:val="Compact"/>
              <w:jc w:val="left"/>
            </w:pPr>
            <w:r>
              <w:t xml:space="preserve">Corrosion-resistant sheath</w:t>
            </w:r>
          </w:p>
        </w:tc>
      </w:tr>
      <w:tr>
        <w:tc>
          <w:tcPr/>
          <w:p>
            <w:pPr>
              <w:pStyle w:val="Compact"/>
              <w:jc w:val="left"/>
            </w:pPr>
            <w:r>
              <w:t xml:space="preserve">Data Acquisition Systems</w:t>
            </w:r>
          </w:p>
        </w:tc>
        <w:tc>
          <w:tcPr/>
          <w:p>
            <w:pPr>
              <w:pStyle w:val="Compact"/>
              <w:jc w:val="left"/>
            </w:pPr>
            <w:r>
              <w:t xml:space="preserve">Every 12 months</w:t>
            </w:r>
          </w:p>
        </w:tc>
        <w:tc>
          <w:tcPr/>
          <w:p>
            <w:pPr>
              <w:pStyle w:val="Compact"/>
              <w:jc w:val="left"/>
            </w:pPr>
            <w:r>
              <w:t xml:space="preserve">UPS and surge protection</w:t>
            </w:r>
          </w:p>
        </w:tc>
      </w:tr>
    </w:tbl>
    <w:bookmarkEnd w:id="24"/>
    <w:bookmarkStart w:id="25" w:name="safety-procedures"/>
    <w:p>
      <w:pPr>
        <w:pStyle w:val="Heading2"/>
      </w:pPr>
      <w:r>
        <w:t xml:space="preserve">5. Safety Procedures</w:t>
      </w:r>
    </w:p>
    <w:p>
      <w:pPr>
        <w:pStyle w:val="FirstParagraph"/>
      </w:pPr>
      <w:r>
        <w:t xml:space="preserve">Safety is paramount in all mechanical engineering experiments. The following procedures must be strictly followed:</w:t>
      </w:r>
    </w:p>
    <w:p>
      <w:pPr>
        <w:numPr>
          <w:ilvl w:val="0"/>
          <w:numId w:val="1004"/>
        </w:numPr>
        <w:pStyle w:val="Compact"/>
      </w:pPr>
      <w:r>
        <w:t xml:space="preserve">All personnel must wear appropriate personal protective equipment (PPE), including safety glasses, gloves, and steel-toed boots.</w:t>
      </w:r>
    </w:p>
    <w:p>
      <w:pPr>
        <w:numPr>
          <w:ilvl w:val="0"/>
          <w:numId w:val="1004"/>
        </w:numPr>
        <w:pStyle w:val="Compact"/>
      </w:pPr>
      <w:r>
        <w:t xml:space="preserve">Emergency stop buttons must be accessible and tested before each experiment.</w:t>
      </w:r>
    </w:p>
    <w:p>
      <w:pPr>
        <w:numPr>
          <w:ilvl w:val="0"/>
          <w:numId w:val="1004"/>
        </w:numPr>
        <w:pStyle w:val="Compact"/>
      </w:pPr>
      <w:r>
        <w:t xml:space="preserve">Fire extinguishers and first aid kits must be available and inspected monthly.</w:t>
      </w:r>
    </w:p>
    <w:p>
      <w:pPr>
        <w:numPr>
          <w:ilvl w:val="0"/>
          <w:numId w:val="1004"/>
        </w:numPr>
        <w:pStyle w:val="Compact"/>
      </w:pPr>
      <w:r>
        <w:t xml:space="preserve">Lockout/tagout procedures must be implemented for all machinery during maintenance.</w:t>
      </w:r>
    </w:p>
    <w:p>
      <w:pPr>
        <w:numPr>
          <w:ilvl w:val="0"/>
          <w:numId w:val="1004"/>
        </w:numPr>
        <w:pStyle w:val="Compact"/>
      </w:pPr>
      <w:r>
        <w:t xml:space="preserve">Training on local emergency services and evacuation routes in Yangon must be completed by all staff.</w:t>
      </w:r>
    </w:p>
    <w:p>
      <w:pPr>
        <w:pStyle w:val="FirstParagraph"/>
      </w:pPr>
      <w:r>
        <w:rPr>
          <w:bCs/>
          <w:b/>
        </w:rPr>
        <w:t xml:space="preserve">Note:</w:t>
      </w:r>
      <w:r>
        <w:t xml:space="preserve"> </w:t>
      </w:r>
      <w:r>
        <w:t xml:space="preserve">In the event of a power outage, all experiments must be safely halted, and equipment secured to prevent damage or injury.</w:t>
      </w:r>
    </w:p>
    <w:bookmarkEnd w:id="25"/>
    <w:bookmarkStart w:id="26" w:name="data-collection-and-reporting"/>
    <w:p>
      <w:pPr>
        <w:pStyle w:val="Heading2"/>
      </w:pPr>
      <w:r>
        <w:t xml:space="preserve">6. Data Collection and Reporting</w:t>
      </w:r>
    </w:p>
    <w:p>
      <w:pPr>
        <w:pStyle w:val="FirstParagraph"/>
      </w:pPr>
      <w:r>
        <w:t xml:space="preserve">Accurate and transparent data collection is essential for the validity of mechanical engineering experiments. The following standards apply:</w:t>
      </w:r>
    </w:p>
    <w:p>
      <w:pPr>
        <w:numPr>
          <w:ilvl w:val="0"/>
          <w:numId w:val="1005"/>
        </w:numPr>
        <w:pStyle w:val="Compact"/>
      </w:pPr>
      <w:r>
        <w:t xml:space="preserve">All data must be recorded in real-time using calibrated instruments.</w:t>
      </w:r>
    </w:p>
    <w:p>
      <w:pPr>
        <w:numPr>
          <w:ilvl w:val="0"/>
          <w:numId w:val="1005"/>
        </w:numPr>
        <w:pStyle w:val="Compact"/>
      </w:pPr>
      <w:r>
        <w:t xml:space="preserve">Digital data must be backed up daily to secure, off-site storage.</w:t>
      </w:r>
    </w:p>
    <w:p>
      <w:pPr>
        <w:numPr>
          <w:ilvl w:val="0"/>
          <w:numId w:val="1005"/>
        </w:numPr>
        <w:pStyle w:val="Compact"/>
      </w:pPr>
      <w:r>
        <w:t xml:space="preserve">Raw data, calibration records, and environmental logs must be retained for a minimum of five years.</w:t>
      </w:r>
    </w:p>
    <w:p>
      <w:pPr>
        <w:numPr>
          <w:ilvl w:val="0"/>
          <w:numId w:val="1005"/>
        </w:numPr>
        <w:pStyle w:val="Compact"/>
      </w:pPr>
      <w:r>
        <w:t xml:space="preserve">Reports must include a detailed methodology, results, uncertainty analysis, and conclusions.</w:t>
      </w:r>
    </w:p>
    <w:p>
      <w:pPr>
        <w:numPr>
          <w:ilvl w:val="0"/>
          <w:numId w:val="1005"/>
        </w:numPr>
        <w:pStyle w:val="Compact"/>
      </w:pPr>
      <w:r>
        <w:t xml:space="preserve">Reports must be written in English and comply with international technical writing standards.</w:t>
      </w:r>
    </w:p>
    <w:bookmarkEnd w:id="26"/>
    <w:bookmarkStart w:id="27" w:name="compliance-and-quality-assurance"/>
    <w:p>
      <w:pPr>
        <w:pStyle w:val="Heading2"/>
      </w:pPr>
      <w:r>
        <w:t xml:space="preserve">7. Compliance and Quality Assurance</w:t>
      </w:r>
    </w:p>
    <w:p>
      <w:pPr>
        <w:pStyle w:val="FirstParagraph"/>
      </w:pPr>
      <w:r>
        <w:t xml:space="preserve">All experiments must comply with:</w:t>
      </w:r>
    </w:p>
    <w:p>
      <w:pPr>
        <w:numPr>
          <w:ilvl w:val="0"/>
          <w:numId w:val="1006"/>
        </w:numPr>
        <w:pStyle w:val="Compact"/>
      </w:pPr>
      <w:r>
        <w:t xml:space="preserve">Myanmar’s national safety and environmental regulations.</w:t>
      </w:r>
    </w:p>
    <w:p>
      <w:pPr>
        <w:numPr>
          <w:ilvl w:val="0"/>
          <w:numId w:val="1006"/>
        </w:numPr>
        <w:pStyle w:val="Compact"/>
      </w:pPr>
      <w:r>
        <w:t xml:space="preserve">International standards such as ISO, ASTM, and ASME where applicable.</w:t>
      </w:r>
    </w:p>
    <w:p>
      <w:pPr>
        <w:numPr>
          <w:ilvl w:val="0"/>
          <w:numId w:val="1006"/>
        </w:numPr>
        <w:pStyle w:val="Compact"/>
      </w:pPr>
      <w:r>
        <w:t xml:space="preserve">Institutional or organizational quality management systems.</w:t>
      </w:r>
    </w:p>
    <w:p>
      <w:pPr>
        <w:pStyle w:val="FirstParagraph"/>
      </w:pPr>
      <w:r>
        <w:t xml:space="preserve">Regular audits will be conducted to ensure adherence to this Experiment Protocol. Non-compliance may result in suspension of experimental activities until corrective actions are implemented.</w:t>
      </w:r>
    </w:p>
    <w:bookmarkEnd w:id="27"/>
    <w:bookmarkStart w:id="28" w:name="conclusion"/>
    <w:p>
      <w:pPr>
        <w:pStyle w:val="Heading2"/>
      </w:pPr>
      <w:r>
        <w:t xml:space="preserve">8. Conclusion</w:t>
      </w:r>
    </w:p>
    <w:p>
      <w:pPr>
        <w:pStyle w:val="FirstParagraph"/>
      </w:pPr>
      <w:r>
        <w:t xml:space="preserve">This Experiment Protocol provides a comprehensive framework for Mechanical Engineers conducting experiments in Yangon, Myanmar. By addressing local environmental conditions, safety requirements, and technical standards, this document ensures that experimental work is conducted reliably, safely, and in alignment with both local and international best practices. Adherence to this protocol is mandatory for all personnel involved in mechanical engineering research and testing in Yangon.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in Myanmar Yangon</dc:title>
  <dc:creator/>
  <dc:language>en</dc:language>
  <cp:keywords/>
  <dcterms:created xsi:type="dcterms:W3CDTF">2026-10-10T01:02:44Z</dcterms:created>
  <dcterms:modified xsi:type="dcterms:W3CDTF">2026-10-10T01:02:44Z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