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Xcc2190108fe0141d4020ac64a3e9c81f0b2e7be"/>
    <w:p>
      <w:pPr>
        <w:pStyle w:val="Heading1"/>
      </w:pPr>
      <w:r>
        <w:t xml:space="preserve">Experiment Protocol: Mechanical Engineer in Nigeria Abuja</w:t>
      </w:r>
    </w:p>
    <w:p>
      <w:pPr>
        <w:pStyle w:val="FirstParagraph"/>
      </w:pPr>
      <w:r>
        <w:rPr>
          <w:bCs/>
          <w:b/>
        </w:rPr>
        <w:t xml:space="preserve">Document ID:</w:t>
      </w:r>
      <w:r>
        <w:t xml:space="preserve"> </w:t>
      </w:r>
      <w:r>
        <w:t xml:space="preserve">ME-ABJ-2024-001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Abuja, Federal Capital Territory, Nigeria</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standards required for conducting mechanical engineering experiments in Abuja, Nigeria. The primary objective is to ensure that all experimental activities are carried out in a manner that is safe, accurate, and compliant with local regulations and international best practices.</w:t>
      </w:r>
    </w:p>
    <w:p>
      <w:pPr>
        <w:pStyle w:val="BodyText"/>
      </w:pPr>
      <w:r>
        <w:t xml:space="preserve">The Mechanical Engineer responsible for this experiment must adhere to the guidelines set forth in this document to maintain the integrity of the research and protect personnel, equipment, and the environment.</w:t>
      </w:r>
    </w:p>
    <w:bookmarkEnd w:id="21"/>
    <w:bookmarkStart w:id="22" w:name="scope-and-applicability"/>
    <w:p>
      <w:pPr>
        <w:pStyle w:val="Heading2"/>
      </w:pPr>
      <w:r>
        <w:t xml:space="preserve">2. Scope and Applicability</w:t>
      </w:r>
    </w:p>
    <w:p>
      <w:pPr>
        <w:pStyle w:val="FirstParagraph"/>
      </w:pPr>
      <w:r>
        <w:t xml:space="preserve">This protocol applies to all mechanical engineering experiments conducted within laboratories, workshops, or field sites in Abuja. It covers a wide range of activities, including but not limited to:</w:t>
      </w:r>
    </w:p>
    <w:p>
      <w:pPr>
        <w:numPr>
          <w:ilvl w:val="0"/>
          <w:numId w:val="1001"/>
        </w:numPr>
        <w:pStyle w:val="Compact"/>
      </w:pPr>
      <w:r>
        <w:t xml:space="preserve">Thermal and fluid dynamics testing</w:t>
      </w:r>
    </w:p>
    <w:p>
      <w:pPr>
        <w:numPr>
          <w:ilvl w:val="0"/>
          <w:numId w:val="1001"/>
        </w:numPr>
        <w:pStyle w:val="Compact"/>
      </w:pPr>
      <w:r>
        <w:t xml:space="preserve">Mechanical stress and strain analysis</w:t>
      </w:r>
    </w:p>
    <w:p>
      <w:pPr>
        <w:numPr>
          <w:ilvl w:val="0"/>
          <w:numId w:val="1001"/>
        </w:numPr>
        <w:pStyle w:val="Compact"/>
      </w:pPr>
      <w:r>
        <w:t xml:space="preserve">Material testing and characterization</w:t>
      </w:r>
    </w:p>
    <w:p>
      <w:pPr>
        <w:numPr>
          <w:ilvl w:val="0"/>
          <w:numId w:val="1001"/>
        </w:numPr>
        <w:pStyle w:val="Compact"/>
      </w:pPr>
      <w:r>
        <w:t xml:space="preserve">Energy efficiency assessments</w:t>
      </w:r>
    </w:p>
    <w:p>
      <w:pPr>
        <w:pStyle w:val="FirstParagraph"/>
      </w:pPr>
      <w:r>
        <w:t xml:space="preserve">All Mechanical Engineers, technicians, and support staff involved in these experiments must familiarize themselves with this protocol and follow it strictly.</w:t>
      </w:r>
    </w:p>
    <w:bookmarkEnd w:id="22"/>
    <w:bookmarkStart w:id="23" w:name="regulatory-compliance"/>
    <w:p>
      <w:pPr>
        <w:pStyle w:val="Heading2"/>
      </w:pPr>
      <w:r>
        <w:t xml:space="preserve">3. Regulatory Compliance</w:t>
      </w:r>
    </w:p>
    <w:p>
      <w:pPr>
        <w:pStyle w:val="FirstParagraph"/>
      </w:pPr>
      <w:r>
        <w:t xml:space="preserve">All experiments must comply with the relevant Nigerian standards and regulations, including those set by:</w:t>
      </w:r>
    </w:p>
    <w:p>
      <w:pPr>
        <w:numPr>
          <w:ilvl w:val="0"/>
          <w:numId w:val="1002"/>
        </w:numPr>
        <w:pStyle w:val="Compact"/>
      </w:pPr>
      <w:r>
        <w:t xml:space="preserve">Nigerian Standards Organisation (SON)</w:t>
      </w:r>
    </w:p>
    <w:p>
      <w:pPr>
        <w:numPr>
          <w:ilvl w:val="0"/>
          <w:numId w:val="1002"/>
        </w:numPr>
        <w:pStyle w:val="Compact"/>
      </w:pPr>
      <w:r>
        <w:t xml:space="preserve">Department of Petroleum Resources (DPR), if applicable</w:t>
      </w:r>
    </w:p>
    <w:p>
      <w:pPr>
        <w:numPr>
          <w:ilvl w:val="0"/>
          <w:numId w:val="1002"/>
        </w:numPr>
        <w:pStyle w:val="Compact"/>
      </w:pPr>
      <w:r>
        <w:t xml:space="preserve">Environmental Protection Agency (EPA)</w:t>
      </w:r>
    </w:p>
    <w:p>
      <w:pPr>
        <w:numPr>
          <w:ilvl w:val="0"/>
          <w:numId w:val="1002"/>
        </w:numPr>
        <w:pStyle w:val="Compact"/>
      </w:pPr>
      <w:r>
        <w:t xml:space="preserve">Local Abuja municipal regulations</w:t>
      </w:r>
    </w:p>
    <w:p>
      <w:pPr>
        <w:pStyle w:val="FirstParagraph"/>
      </w:pPr>
      <w:r>
        <w:t xml:space="preserve">The Mechanical Engineer must ensure that all equipment and procedures meet these standards before commencing any experimental work.</w:t>
      </w:r>
    </w:p>
    <w:bookmarkEnd w:id="23"/>
    <w:bookmarkStart w:id="26" w:name="safety-procedures"/>
    <w:p>
      <w:pPr>
        <w:pStyle w:val="Heading2"/>
      </w:pPr>
      <w:r>
        <w:t xml:space="preserve">4. Safety Procedures</w:t>
      </w:r>
    </w:p>
    <w:bookmarkStart w:id="24" w:name="personal-protective-equipment-ppe"/>
    <w:p>
      <w:pPr>
        <w:pStyle w:val="Heading3"/>
      </w:pPr>
      <w:r>
        <w:t xml:space="preserve">4.1 Personal Protective Equipment (PPE)</w:t>
      </w:r>
    </w:p>
    <w:p>
      <w:pPr>
        <w:pStyle w:val="FirstParagraph"/>
      </w:pPr>
      <w:r>
        <w:t xml:space="preserve">All personnel must wear appropriate PPE, including:</w:t>
      </w:r>
    </w:p>
    <w:p>
      <w:pPr>
        <w:numPr>
          <w:ilvl w:val="0"/>
          <w:numId w:val="1003"/>
        </w:numPr>
        <w:pStyle w:val="Compact"/>
      </w:pPr>
      <w:r>
        <w:t xml:space="preserve">Safety goggles</w:t>
      </w:r>
    </w:p>
    <w:p>
      <w:pPr>
        <w:numPr>
          <w:ilvl w:val="0"/>
          <w:numId w:val="1003"/>
        </w:numPr>
        <w:pStyle w:val="Compact"/>
      </w:pPr>
      <w:r>
        <w:t xml:space="preserve">Protective gloves</w:t>
      </w:r>
    </w:p>
    <w:p>
      <w:pPr>
        <w:numPr>
          <w:ilvl w:val="0"/>
          <w:numId w:val="1003"/>
        </w:numPr>
        <w:pStyle w:val="Compact"/>
      </w:pPr>
      <w:r>
        <w:t xml:space="preserve">Safety boots</w:t>
      </w:r>
    </w:p>
    <w:p>
      <w:pPr>
        <w:numPr>
          <w:ilvl w:val="0"/>
          <w:numId w:val="1003"/>
        </w:numPr>
        <w:pStyle w:val="Compact"/>
      </w:pPr>
      <w:r>
        <w:t xml:space="preserve">Lab coats or protective clothing</w:t>
      </w:r>
    </w:p>
    <w:bookmarkEnd w:id="24"/>
    <w:bookmarkStart w:id="25" w:name="emergency-procedures"/>
    <w:p>
      <w:pPr>
        <w:pStyle w:val="Heading3"/>
      </w:pPr>
      <w:r>
        <w:t xml:space="preserve">4.2 Emergency Procedures</w:t>
      </w:r>
    </w:p>
    <w:p>
      <w:pPr>
        <w:pStyle w:val="FirstParagraph"/>
      </w:pPr>
      <w:r>
        <w:t xml:space="preserve">In the event of an emergency, the following steps must be taken:</w:t>
      </w:r>
    </w:p>
    <w:p>
      <w:pPr>
        <w:numPr>
          <w:ilvl w:val="0"/>
          <w:numId w:val="1004"/>
        </w:numPr>
        <w:pStyle w:val="Compact"/>
      </w:pPr>
      <w:r>
        <w:t xml:space="preserve">Immediately stop the experiment.</w:t>
      </w:r>
    </w:p>
    <w:p>
      <w:pPr>
        <w:numPr>
          <w:ilvl w:val="0"/>
          <w:numId w:val="1004"/>
        </w:numPr>
        <w:pStyle w:val="Compact"/>
      </w:pPr>
      <w:r>
        <w:t xml:space="preserve">Evacuate the area if necessary.</w:t>
      </w:r>
    </w:p>
    <w:p>
      <w:pPr>
        <w:numPr>
          <w:ilvl w:val="0"/>
          <w:numId w:val="1004"/>
        </w:numPr>
        <w:pStyle w:val="Compact"/>
      </w:pPr>
      <w:r>
        <w:t xml:space="preserve">Contact emergency services and report the incident to the supervisor.</w:t>
      </w:r>
    </w:p>
    <w:p>
      <w:pPr>
        <w:numPr>
          <w:ilvl w:val="0"/>
          <w:numId w:val="1004"/>
        </w:numPr>
        <w:pStyle w:val="Compact"/>
      </w:pPr>
      <w:r>
        <w:t xml:space="preserve">Document the incident for further investigation.</w:t>
      </w:r>
    </w:p>
    <w:p>
      <w:pPr>
        <w:pStyle w:val="FirstParagraph"/>
      </w:pPr>
      <w:r>
        <w:rPr>
          <w:bCs/>
          <w:b/>
        </w:rPr>
        <w:t xml:space="preserve">Note:</w:t>
      </w:r>
      <w:r>
        <w:t xml:space="preserve"> </w:t>
      </w:r>
      <w:r>
        <w:t xml:space="preserve">All personnel must be familiar with the location of emergency exits, fire extinguishers, and first aid kits.</w:t>
      </w:r>
    </w:p>
    <w:bookmarkEnd w:id="25"/>
    <w:bookmarkEnd w:id="26"/>
    <w:bookmarkStart w:id="30" w:name="experimental-setup"/>
    <w:p>
      <w:pPr>
        <w:pStyle w:val="Heading2"/>
      </w:pPr>
      <w:r>
        <w:t xml:space="preserve">5. Experimental Setup</w:t>
      </w:r>
    </w:p>
    <w:bookmarkStart w:id="27" w:name="equipment-calibration"/>
    <w:p>
      <w:pPr>
        <w:pStyle w:val="Heading3"/>
      </w:pPr>
      <w:r>
        <w:t xml:space="preserve">5.1 Equipment Calibration</w:t>
      </w:r>
    </w:p>
    <w:p>
      <w:pPr>
        <w:pStyle w:val="FirstParagraph"/>
      </w:pPr>
      <w:r>
        <w:t xml:space="preserve">All equipment used in the experiment must be calibrated according to manufacturer specifications and relevant standards. The Mechanical Engineer must verify calibration certificates before use.</w:t>
      </w:r>
    </w:p>
    <w:bookmarkEnd w:id="27"/>
    <w:bookmarkStart w:id="28" w:name="environmental-conditions"/>
    <w:p>
      <w:pPr>
        <w:pStyle w:val="Heading3"/>
      </w:pPr>
      <w:r>
        <w:t xml:space="preserve">5.2 Environmental Conditions</w:t>
      </w:r>
    </w:p>
    <w:p>
      <w:pPr>
        <w:pStyle w:val="FirstParagraph"/>
      </w:pPr>
      <w:r>
        <w:t xml:space="preserve">Experiments should be conducted under controlled environmental conditions. Temperature, humidity, and other environmental factors must be monitored and recorded throughout the experiment.</w:t>
      </w:r>
    </w:p>
    <w:bookmarkEnd w:id="28"/>
    <w:bookmarkStart w:id="29" w:name="data-collection"/>
    <w:p>
      <w:pPr>
        <w:pStyle w:val="Heading3"/>
      </w:pPr>
      <w:r>
        <w:t xml:space="preserve">5.3 Data Collection</w:t>
      </w:r>
    </w:p>
    <w:p>
      <w:pPr>
        <w:pStyle w:val="FirstParagraph"/>
      </w:pPr>
      <w:r>
        <w:t xml:space="preserve">Data must be collected systematically and accurately. The Mechanical Engineer should use standardized data collection forms and ensure that all measurements are recorded in real-time.</w:t>
      </w:r>
    </w:p>
    <w:bookmarkEnd w:id="29"/>
    <w:bookmarkEnd w:id="30"/>
    <w:bookmarkStart w:id="31" w:name="data-analysis-and-reporting"/>
    <w:p>
      <w:pPr>
        <w:pStyle w:val="Heading2"/>
      </w:pPr>
      <w:r>
        <w:t xml:space="preserve">6. Data Analysis and Reporting</w:t>
      </w:r>
    </w:p>
    <w:p>
      <w:pPr>
        <w:pStyle w:val="FirstParagraph"/>
      </w:pPr>
      <w:r>
        <w:t xml:space="preserve">After data collection, the Mechanical Engineer must analyze the data using appropriate statistical methods. The results should be documented in a clear and concise report, including:</w:t>
      </w:r>
    </w:p>
    <w:p>
      <w:pPr>
        <w:numPr>
          <w:ilvl w:val="0"/>
          <w:numId w:val="1005"/>
        </w:numPr>
        <w:pStyle w:val="Compact"/>
      </w:pPr>
      <w:r>
        <w:t xml:space="preserve">Objective of the experiment</w:t>
      </w:r>
    </w:p>
    <w:p>
      <w:pPr>
        <w:numPr>
          <w:ilvl w:val="0"/>
          <w:numId w:val="1005"/>
        </w:numPr>
        <w:pStyle w:val="Compact"/>
      </w:pPr>
      <w:r>
        <w:t xml:space="preserve">Methodology used</w:t>
      </w:r>
    </w:p>
    <w:p>
      <w:pPr>
        <w:numPr>
          <w:ilvl w:val="0"/>
          <w:numId w:val="1005"/>
        </w:numPr>
        <w:pStyle w:val="Compact"/>
      </w:pPr>
      <w:r>
        <w:t xml:space="preserve">Data collected</w:t>
      </w:r>
    </w:p>
    <w:p>
      <w:pPr>
        <w:numPr>
          <w:ilvl w:val="0"/>
          <w:numId w:val="1005"/>
        </w:numPr>
        <w:pStyle w:val="Compact"/>
      </w:pPr>
      <w:r>
        <w:t xml:space="preserve">Analysis and interpretation of results</w:t>
      </w:r>
    </w:p>
    <w:p>
      <w:pPr>
        <w:numPr>
          <w:ilvl w:val="0"/>
          <w:numId w:val="1005"/>
        </w:numPr>
        <w:pStyle w:val="Compact"/>
      </w:pPr>
      <w:r>
        <w:t xml:space="preserve">Conclusions and recommendations</w:t>
      </w:r>
    </w:p>
    <w:p>
      <w:pPr>
        <w:pStyle w:val="FirstParagraph"/>
      </w:pPr>
      <w:r>
        <w:t xml:space="preserve">All reports must be submitted to the relevant authorities or stakeholders as required.</w:t>
      </w:r>
    </w:p>
    <w:bookmarkEnd w:id="31"/>
    <w:bookmarkStart w:id="32" w:name="quality-assurance"/>
    <w:p>
      <w:pPr>
        <w:pStyle w:val="Heading2"/>
      </w:pPr>
      <w:r>
        <w:t xml:space="preserve">7. Quality Assurance</w:t>
      </w:r>
    </w:p>
    <w:p>
      <w:pPr>
        <w:pStyle w:val="FirstParagraph"/>
      </w:pPr>
      <w:r>
        <w:t xml:space="preserve">To ensure the quality and reliability of the experimental results, the following measures must be taken:</w:t>
      </w:r>
    </w:p>
    <w:p>
      <w:pPr>
        <w:numPr>
          <w:ilvl w:val="0"/>
          <w:numId w:val="1006"/>
        </w:numPr>
        <w:pStyle w:val="Compact"/>
      </w:pPr>
      <w:r>
        <w:t xml:space="preserve">Regular audits of experimental procedures</w:t>
      </w:r>
    </w:p>
    <w:p>
      <w:pPr>
        <w:numPr>
          <w:ilvl w:val="0"/>
          <w:numId w:val="1006"/>
        </w:numPr>
        <w:pStyle w:val="Compact"/>
      </w:pPr>
      <w:r>
        <w:t xml:space="preserve">Peer review of data analysis and reports</w:t>
      </w:r>
    </w:p>
    <w:p>
      <w:pPr>
        <w:numPr>
          <w:ilvl w:val="0"/>
          <w:numId w:val="1006"/>
        </w:numPr>
        <w:pStyle w:val="Compact"/>
      </w:pPr>
      <w:r>
        <w:t xml:space="preserve">Continuous training and development of personnel</w:t>
      </w:r>
    </w:p>
    <w:p>
      <w:pPr>
        <w:pStyle w:val="FirstParagraph"/>
      </w:pPr>
      <w:r>
        <w:t xml:space="preserve">The Mechanical Engineer must be proactive in identifying and addressing any issues that may affect the quality of the experiment.</w:t>
      </w:r>
    </w:p>
    <w:bookmarkEnd w:id="32"/>
    <w:bookmarkStart w:id="33" w:name="conclusion"/>
    <w:p>
      <w:pPr>
        <w:pStyle w:val="Heading2"/>
      </w:pPr>
      <w:r>
        <w:t xml:space="preserve">8. Conclusion</w:t>
      </w:r>
    </w:p>
    <w:p>
      <w:pPr>
        <w:pStyle w:val="FirstParagraph"/>
      </w:pPr>
      <w:r>
        <w:t xml:space="preserve">This Experiment Protocol provides a comprehensive framework for conducting mechanical engineering experiments in Abuja, Nigeria. By adhering to these guidelines, the Mechanical Engineer can ensure that all experiments are conducted safely, accurately, and in compliance with relevant standards and regulations.</w:t>
      </w:r>
    </w:p>
    <w:p>
      <w:pPr>
        <w:pStyle w:val="BodyText"/>
      </w:pPr>
      <w:r>
        <w:t xml:space="preserve">It is the responsibility of all personnel involved to follow this protocol diligently to maintain the highest standards of professionalism and integrity in their work.</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in Nigeria Abuja</dc:title>
  <dc:creator/>
  <dc:language>en</dc:language>
  <cp:keywords/>
  <dcterms:created xsi:type="dcterms:W3CDTF">2026-10-10T03:57:27Z</dcterms:created>
  <dcterms:modified xsi:type="dcterms:W3CDTF">2026-10-10T03:57:27Z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