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Research</w:t>
      </w:r>
      <w:r>
        <w:t xml:space="preserve"> </w:t>
      </w:r>
      <w:r>
        <w:t xml:space="preserve">in</w:t>
      </w:r>
      <w:r>
        <w:t xml:space="preserve"> </w:t>
      </w:r>
      <w:r>
        <w:t xml:space="preserve">Moscow,</w:t>
      </w:r>
      <w:r>
        <w:t xml:space="preserve"> </w:t>
      </w:r>
      <w:r>
        <w:t xml:space="preserve">Russia</w:t>
      </w:r>
    </w:p>
    <w:bookmarkStart w:id="20" w:name="official-experiment-protocol"/>
    <w:p>
      <w:pPr>
        <w:pStyle w:val="Heading1"/>
      </w:pPr>
      <w:r>
        <w:t xml:space="preserve">Official Experiment Protocol</w:t>
      </w:r>
    </w:p>
    <w:p>
      <w:pPr>
        <w:pStyle w:val="FirstParagraph"/>
      </w:pPr>
      <w:r>
        <w:rPr>
          <w:bCs/>
          <w:b/>
        </w:rPr>
        <w:t xml:space="preserve">Subject:</w:t>
      </w:r>
      <w:r>
        <w:t xml:space="preserve"> </w:t>
      </w:r>
      <w:r>
        <w:t xml:space="preserve">Structural Integrity Analysis of Cryogenic Steel Alloys under Dynamic Loading</w:t>
      </w:r>
    </w:p>
    <w:p>
      <w:pPr>
        <w:pStyle w:val="BodyText"/>
      </w:pPr>
      <w:r>
        <w:rPr>
          <w:bCs/>
          <w:b/>
        </w:rPr>
        <w:t xml:space="preserve">Location:</w:t>
      </w:r>
      <w:r>
        <w:t xml:space="preserve"> </w:t>
      </w:r>
      <w:r>
        <w:t xml:space="preserve">Moscow, Russia</w:t>
      </w:r>
    </w:p>
    <w:p>
      <w:pPr>
        <w:pStyle w:val="BodyText"/>
      </w:pPr>
      <w:r>
        <w:rPr>
          <w:bCs/>
          <w:b/>
        </w:rPr>
        <w:t xml:space="preserve">Lead Investigator:</w:t>
      </w:r>
      <w:r>
        <w:t xml:space="preserve"> </w:t>
      </w:r>
      <w:r>
        <w:t xml:space="preserve">Senior 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ME-MOW-2023-089</w:t>
      </w:r>
    </w:p>
    <w:bookmarkEnd w:id="20"/>
    <w:bookmarkStart w:id="21" w:name="introduction-and-context"/>
    <w:p>
      <w:pPr>
        <w:pStyle w:val="Heading2"/>
      </w:pPr>
      <w:r>
        <w:t xml:space="preserve">1. Introduction and Context</w:t>
      </w:r>
    </w:p>
    <w:p>
      <w:pPr>
        <w:pStyle w:val="FirstParagraph"/>
      </w:pPr>
      <w:r>
        <w:t xml:space="preserve">This Experiment Protocol outlines the rigorous methodology to be employed by the Mechanical Engineer team stationed in Moscow, Russia. The research is conducted within the specialized facilities of the Moscow Institute of Advanced Engineering, leveraging the region's unique climatic conditions and industrial infrastructure. The primary objective is to evaluate the fatigue resistance and fracture toughness of novel steel alloys intended for use in the harsh winter environments typical of the Russian Federation.</w:t>
      </w:r>
    </w:p>
    <w:p>
      <w:pPr>
        <w:pStyle w:val="BodyText"/>
      </w:pPr>
      <w:r>
        <w:t xml:space="preserve">As a Mechanical Engineer operating in this jurisdiction, adherence to both international engineering standards and specific Russian GOST (State Standards) regulations is mandatory. This document serves as the binding framework for all experimental activities, ensuring data integrity, personnel safety, and regulatory compliance within the Moscow metropolitan area.</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determine the yield strength and ultimate tensile strength of Alloy X-77 at temperatures ranging from -40°C to -60°C.</w:t>
      </w:r>
    </w:p>
    <w:p>
      <w:pPr>
        <w:numPr>
          <w:ilvl w:val="0"/>
          <w:numId w:val="1001"/>
        </w:numPr>
        <w:pStyle w:val="Compact"/>
      </w:pPr>
      <w:r>
        <w:t xml:space="preserve">To analyze the propagation of micro-cracks under cyclic loading conditions simulating heavy industrial machinery usage.</w:t>
      </w:r>
    </w:p>
    <w:p>
      <w:pPr>
        <w:numPr>
          <w:ilvl w:val="0"/>
          <w:numId w:val="1001"/>
        </w:numPr>
        <w:pStyle w:val="Compact"/>
      </w:pPr>
      <w:r>
        <w:t xml:space="preserve">To validate the suitability of these materials for infrastructure projects in Moscow and surrounding regions, where thermal shock is a critical design factor.</w:t>
      </w:r>
    </w:p>
    <w:p>
      <w:pPr>
        <w:numPr>
          <w:ilvl w:val="0"/>
          <w:numId w:val="1001"/>
        </w:numPr>
        <w:pStyle w:val="Compact"/>
      </w:pPr>
      <w:r>
        <w:t xml:space="preserve">To ensure all testing procedures align with the safety protocols mandated by the Federal Service for Ecological, Technological and Nuclear Supervision (Rostekhnadzor).</w:t>
      </w:r>
    </w:p>
    <w:bookmarkEnd w:id="22"/>
    <w:bookmarkStart w:id="23" w:name="scope-and-responsibilities"/>
    <w:p>
      <w:pPr>
        <w:pStyle w:val="Heading2"/>
      </w:pPr>
      <w:r>
        <w:t xml:space="preserve">3. Scope and Responsibilities</w:t>
      </w:r>
    </w:p>
    <w:p>
      <w:pPr>
        <w:pStyle w:val="FirstParagraph"/>
      </w:pPr>
      <w:r>
        <w:t xml:space="preserve">This protocol applies to all Mechanical Engineers, technicians, and support staff involved in the project. The Lead Mechanical Engineer is responsible for the overall execution of the experiment, calibration of equipment, and final data interpretation. The scope is limited to the laboratory facilities located in the industrial district of Moscow. Any deviation from this protocol requires written approval from the Chief Scientific Officer.</w:t>
      </w:r>
    </w:p>
    <w:bookmarkEnd w:id="23"/>
    <w:bookmarkStart w:id="24" w:name="materials-and-equipment"/>
    <w:p>
      <w:pPr>
        <w:pStyle w:val="Heading2"/>
      </w:pPr>
      <w:r>
        <w:t xml:space="preserve">4. Materials and Equipment</w:t>
      </w:r>
    </w:p>
    <w:p>
      <w:pPr>
        <w:pStyle w:val="FirstParagraph"/>
      </w:pPr>
      <w:r>
        <w:t xml:space="preserve">The following materials and equipment will be utilized during the experiment:</w:t>
      </w:r>
    </w:p>
    <w:p>
      <w:pPr>
        <w:numPr>
          <w:ilvl w:val="0"/>
          <w:numId w:val="1002"/>
        </w:numPr>
        <w:pStyle w:val="Compact"/>
      </w:pPr>
      <w:r>
        <w:rPr>
          <w:bCs/>
          <w:b/>
        </w:rPr>
        <w:t xml:space="preserve">Test Specimens:</w:t>
      </w:r>
      <w:r>
        <w:t xml:space="preserve"> </w:t>
      </w:r>
      <w:r>
        <w:t xml:space="preserve">Standardized dog-bone shaped samples of Alloy X-77, manufactured in accordance with GOST 1497-84.</w:t>
      </w:r>
    </w:p>
    <w:p>
      <w:pPr>
        <w:numPr>
          <w:ilvl w:val="0"/>
          <w:numId w:val="1002"/>
        </w:numPr>
        <w:pStyle w:val="Compact"/>
      </w:pPr>
      <w:r>
        <w:rPr>
          <w:bCs/>
          <w:b/>
        </w:rPr>
        <w:t xml:space="preserve">Universal Testing Machine:</w:t>
      </w:r>
      <w:r>
        <w:t xml:space="preserve"> </w:t>
      </w:r>
      <w:r>
        <w:t xml:space="preserve">A high-capacity hydraulic press capable of applying loads up to 500 kN.</w:t>
      </w:r>
    </w:p>
    <w:p>
      <w:pPr>
        <w:numPr>
          <w:ilvl w:val="0"/>
          <w:numId w:val="1002"/>
        </w:numPr>
        <w:pStyle w:val="Compact"/>
      </w:pPr>
      <w:r>
        <w:rPr>
          <w:bCs/>
          <w:b/>
        </w:rPr>
        <w:t xml:space="preserve">Cryogenic Chamber:</w:t>
      </w:r>
      <w:r>
        <w:t xml:space="preserve"> </w:t>
      </w:r>
      <w:r>
        <w:t xml:space="preserve">A controlled environment chamber capable of maintaining stable temperatures down to -80°C.</w:t>
      </w:r>
    </w:p>
    <w:p>
      <w:pPr>
        <w:numPr>
          <w:ilvl w:val="0"/>
          <w:numId w:val="1002"/>
        </w:numPr>
        <w:pStyle w:val="Compact"/>
      </w:pPr>
      <w:r>
        <w:rPr>
          <w:bCs/>
          <w:b/>
        </w:rPr>
        <w:t xml:space="preserve">Data Acquisition System:</w:t>
      </w:r>
      <w:r>
        <w:t xml:space="preserve"> </w:t>
      </w:r>
      <w:r>
        <w:t xml:space="preserve">High-frequency sensors for strain, displacement, and load monitoring.</w:t>
      </w:r>
    </w:p>
    <w:p>
      <w:pPr>
        <w:numPr>
          <w:ilvl w:val="0"/>
          <w:numId w:val="1002"/>
        </w:numPr>
        <w:pStyle w:val="Compact"/>
      </w:pPr>
      <w:r>
        <w:rPr>
          <w:bCs/>
          <w:b/>
        </w:rPr>
        <w:t xml:space="preserve">Safety Gear:</w:t>
      </w:r>
      <w:r>
        <w:t xml:space="preserve"> </w:t>
      </w:r>
      <w:r>
        <w:t xml:space="preserve">Cryogenic gloves, face shields, and steel-toed boots compliant with Russian safety standards.</w:t>
      </w:r>
    </w:p>
    <w:bookmarkEnd w:id="24"/>
    <w:bookmarkStart w:id="25" w:name="experimental-procedure"/>
    <w:p>
      <w:pPr>
        <w:pStyle w:val="Heading2"/>
      </w:pPr>
      <w:r>
        <w:t xml:space="preserve">5. Experimental Procedure</w:t>
      </w:r>
    </w:p>
    <w:p>
      <w:pPr>
        <w:pStyle w:val="FirstParagraph"/>
      </w:pPr>
      <w:r>
        <w:t xml:space="preserve">The Mechanical Engineer must follow these steps precisely:</w:t>
      </w:r>
    </w:p>
    <w:p>
      <w:pPr>
        <w:numPr>
          <w:ilvl w:val="0"/>
          <w:numId w:val="1003"/>
        </w:numPr>
        <w:pStyle w:val="Compact"/>
      </w:pPr>
      <w:r>
        <w:rPr>
          <w:bCs/>
          <w:b/>
        </w:rPr>
        <w:t xml:space="preserve">Preparation:</w:t>
      </w:r>
      <w:r>
        <w:t xml:space="preserve"> </w:t>
      </w:r>
      <w:r>
        <w:t xml:space="preserve">Inspect all test specimens for surface defects. Record the dimensions of each sample using digital calipers.</w:t>
      </w:r>
    </w:p>
    <w:p>
      <w:pPr>
        <w:numPr>
          <w:ilvl w:val="0"/>
          <w:numId w:val="1003"/>
        </w:numPr>
        <w:pStyle w:val="Compact"/>
      </w:pPr>
      <w:r>
        <w:rPr>
          <w:bCs/>
          <w:b/>
        </w:rPr>
        <w:t xml:space="preserve">Calibration:</w:t>
      </w:r>
      <w:r>
        <w:t xml:space="preserve"> </w:t>
      </w:r>
      <w:r>
        <w:t xml:space="preserve">Calibrate the Universal Testing Machine and the cryogenic chamber sensors. Ensure the temperature sensors are accurate within ±0.5°C.</w:t>
      </w:r>
    </w:p>
    <w:p>
      <w:pPr>
        <w:numPr>
          <w:ilvl w:val="0"/>
          <w:numId w:val="1003"/>
        </w:numPr>
        <w:pStyle w:val="Compact"/>
      </w:pPr>
      <w:r>
        <w:rPr>
          <w:bCs/>
          <w:b/>
        </w:rPr>
        <w:t xml:space="preserve">Mounting:</w:t>
      </w:r>
      <w:r>
        <w:t xml:space="preserve"> </w:t>
      </w:r>
      <w:r>
        <w:t xml:space="preserve">Secure the specimen in the testing machine grips. Ensure alignment to prevent eccentric loading.</w:t>
      </w:r>
    </w:p>
    <w:p>
      <w:pPr>
        <w:numPr>
          <w:ilvl w:val="0"/>
          <w:numId w:val="1003"/>
        </w:numPr>
        <w:pStyle w:val="Compact"/>
      </w:pPr>
      <w:r>
        <w:rPr>
          <w:bCs/>
          <w:b/>
        </w:rPr>
        <w:t xml:space="preserve">Cooling Phase:</w:t>
      </w:r>
      <w:r>
        <w:t xml:space="preserve"> </w:t>
      </w:r>
      <w:r>
        <w:t xml:space="preserve">Activate the cryogenic chamber. Gradually lower the temperature to the target test temperature (-50°C). Allow 30 minutes for thermal equilibrium.</w:t>
      </w:r>
    </w:p>
    <w:p>
      <w:pPr>
        <w:numPr>
          <w:ilvl w:val="0"/>
          <w:numId w:val="1003"/>
        </w:numPr>
        <w:pStyle w:val="Compact"/>
      </w:pPr>
      <w:r>
        <w:rPr>
          <w:bCs/>
          <w:b/>
        </w:rPr>
        <w:t xml:space="preserve">Loading Phase:</w:t>
      </w:r>
      <w:r>
        <w:t xml:space="preserve"> </w:t>
      </w:r>
      <w:r>
        <w:t xml:space="preserve">Apply load at a constant rate of 2 mm/min until specimen failure occurs. Monitor the stress-strain curve in real-time.</w:t>
      </w:r>
    </w:p>
    <w:p>
      <w:pPr>
        <w:numPr>
          <w:ilvl w:val="0"/>
          <w:numId w:val="1003"/>
        </w:numPr>
        <w:pStyle w:val="Compact"/>
      </w:pPr>
      <w:r>
        <w:rPr>
          <w:bCs/>
          <w:b/>
        </w:rPr>
        <w:t xml:space="preserve">Data Recording:</w:t>
      </w:r>
      <w:r>
        <w:t xml:space="preserve"> </w:t>
      </w:r>
      <w:r>
        <w:t xml:space="preserve">Record the maximum load, yield point, and fracture characteristics. Capture high-resolution images of the fracture surface.</w:t>
      </w:r>
    </w:p>
    <w:p>
      <w:pPr>
        <w:numPr>
          <w:ilvl w:val="0"/>
          <w:numId w:val="1003"/>
        </w:numPr>
        <w:pStyle w:val="Compact"/>
      </w:pPr>
      <w:r>
        <w:rPr>
          <w:bCs/>
          <w:b/>
        </w:rPr>
        <w:t xml:space="preserve">Repetition:</w:t>
      </w:r>
      <w:r>
        <w:t xml:space="preserve"> </w:t>
      </w:r>
      <w:r>
        <w:t xml:space="preserve">Repeat the process for a minimum of five specimens to ensure statistical significance.</w:t>
      </w:r>
    </w:p>
    <w:bookmarkEnd w:id="25"/>
    <w:bookmarkStart w:id="26" w:name="safety-and-risk-management"/>
    <w:p>
      <w:pPr>
        <w:pStyle w:val="Heading2"/>
      </w:pPr>
      <w:r>
        <w:t xml:space="preserve">6. Safety and Risk Management</w:t>
      </w:r>
    </w:p>
    <w:p>
      <w:pPr>
        <w:pStyle w:val="FirstParagraph"/>
      </w:pPr>
      <w:r>
        <w:t xml:space="preserve">Working in Moscow, Russia, requires strict adherence to local safety regulations. The Mechanical Engineer must ensure that:</w:t>
      </w:r>
    </w:p>
    <w:p>
      <w:pPr>
        <w:numPr>
          <w:ilvl w:val="0"/>
          <w:numId w:val="1004"/>
        </w:numPr>
        <w:pStyle w:val="Compact"/>
      </w:pPr>
      <w:r>
        <w:t xml:space="preserve">All personnel are trained in handling cryogenic fluids and high-pressure equipment.</w:t>
      </w:r>
    </w:p>
    <w:p>
      <w:pPr>
        <w:numPr>
          <w:ilvl w:val="0"/>
          <w:numId w:val="1004"/>
        </w:numPr>
        <w:pStyle w:val="Compact"/>
      </w:pPr>
      <w:r>
        <w:t xml:space="preserve">Emergency shutdown procedures are clearly posted and accessible.</w:t>
      </w:r>
    </w:p>
    <w:p>
      <w:pPr>
        <w:numPr>
          <w:ilvl w:val="0"/>
          <w:numId w:val="1004"/>
        </w:numPr>
        <w:pStyle w:val="Compact"/>
      </w:pPr>
      <w:r>
        <w:t xml:space="preserve">First aid kits and eye wash stations are available within the laboratory.</w:t>
      </w:r>
    </w:p>
    <w:p>
      <w:pPr>
        <w:numPr>
          <w:ilvl w:val="0"/>
          <w:numId w:val="1004"/>
        </w:numPr>
        <w:pStyle w:val="Compact"/>
      </w:pPr>
      <w:r>
        <w:t xml:space="preserve">Any incident or near-miss is reported immediately to the site safety officer and documented in the laboratory logbook.</w:t>
      </w:r>
    </w:p>
    <w:bookmarkEnd w:id="26"/>
    <w:bookmarkStart w:id="27" w:name="data-analysis-and-reporting"/>
    <w:p>
      <w:pPr>
        <w:pStyle w:val="Heading2"/>
      </w:pPr>
      <w:r>
        <w:t xml:space="preserve">7. Data Analysis and Reporting</w:t>
      </w:r>
    </w:p>
    <w:p>
      <w:pPr>
        <w:pStyle w:val="FirstParagraph"/>
      </w:pPr>
      <w:r>
        <w:t xml:space="preserve">Upon completion of the experiments, the Mechanical Engineer will analyze the collected data using statistical software. The results will be compared against the baseline properties of standard steel alloys. A comprehensive report will be generated, detailing the methodology, results, and conclusions. This report will be submitted to the project stakeholders and filed with the relevant regulatory bodies in Moscow.</w:t>
      </w:r>
    </w:p>
    <w:bookmarkEnd w:id="27"/>
    <w:bookmarkStart w:id="28" w:name="conclusion"/>
    <w:p>
      <w:pPr>
        <w:pStyle w:val="Heading2"/>
      </w:pPr>
      <w:r>
        <w:t xml:space="preserve">8. Conclusion</w:t>
      </w:r>
    </w:p>
    <w:p>
      <w:pPr>
        <w:pStyle w:val="FirstParagraph"/>
      </w:pPr>
      <w:r>
        <w:t xml:space="preserve">This Experiment Protocol provides a structured approach for the Mechanical Engineer to conduct high-quality research in Moscow, Russia. By following these guidelines, we ensure that the results are reliable, reproducible, and compliant with all applicable standards. The findings from this study will contribute significantly to the advancement of materials science and engineering practices in the region.</w:t>
      </w:r>
    </w:p>
    <w:bookmarkEnd w:id="28"/>
    <w:p>
      <w:pPr>
        <w:pStyle w:val="BodyText"/>
      </w:pPr>
      <w:r>
        <w:rPr>
          <w:bCs/>
          <w:b/>
        </w:rPr>
        <w:t xml:space="preserve">Lead Mechanical Engineer:</w:t>
      </w:r>
    </w:p>
    <w:p>
      <w:pPr>
        <w:pStyle w:val="BodyText"/>
      </w:pPr>
      <w:r>
        <w:t xml:space="preserve">Signature</w:t>
      </w:r>
    </w:p>
    <w:p>
      <w:pPr>
        <w:pStyle w:val="BodyText"/>
      </w:pPr>
      <w:r>
        <w:t xml:space="preserve">Date: _______________</w:t>
      </w:r>
    </w:p>
    <w:p>
      <w:pPr>
        <w:pStyle w:val="BodyText"/>
      </w:pPr>
      <w:r>
        <w:rPr>
          <w:bCs/>
          <w:b/>
        </w:rPr>
        <w:t xml:space="preserve">Project Supervisor:</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Research in Moscow, Russia</dc:title>
  <dc:creator/>
  <dc:language>en</dc:language>
  <cp:keywords/>
  <dcterms:created xsi:type="dcterms:W3CDTF">2026-10-10T01:52:19Z</dcterms:created>
  <dcterms:modified xsi:type="dcterms:W3CDTF">2026-10-10T01:52:19Z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