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Standards</w:t>
      </w:r>
      <w:r>
        <w:t xml:space="preserve"> </w:t>
      </w:r>
      <w:r>
        <w:t xml:space="preserve">-</w:t>
      </w:r>
      <w:r>
        <w:t xml:space="preserve"> </w:t>
      </w:r>
      <w:r>
        <w:t xml:space="preserve">Ankara,</w:t>
      </w:r>
      <w:r>
        <w:t xml:space="preserve"> </w:t>
      </w:r>
      <w:r>
        <w:t xml:space="preserve">Turkey</w:t>
      </w:r>
    </w:p>
    <w:bookmarkStart w:id="20" w:name="Xc7c6279b2bc5d9a817fe721a9f12110762e035a"/>
    <w:p>
      <w:pPr>
        <w:pStyle w:val="Heading1"/>
      </w:pPr>
      <w:r>
        <w:t xml:space="preserve">Experiment Protocol: Mechanical Component Stress Analysis</w:t>
      </w:r>
    </w:p>
    <w:p>
      <w:pPr>
        <w:pStyle w:val="FirstParagraph"/>
      </w:pPr>
      <w:r>
        <w:rPr>
          <w:bCs/>
          <w:b/>
        </w:rPr>
        <w:t xml:space="preserve">Location:</w:t>
      </w:r>
      <w:r>
        <w:t xml:space="preserve"> </w:t>
      </w:r>
      <w:r>
        <w:t xml:space="preserve">Ankara, Turkey</w:t>
      </w:r>
    </w:p>
    <w:p>
      <w:pPr>
        <w:pStyle w:val="BodyText"/>
      </w:pPr>
      <w:r>
        <w:rPr>
          <w:bCs/>
          <w:b/>
        </w:rPr>
        <w:t xml:space="preserve">Discipline:</w:t>
      </w:r>
      <w:r>
        <w:t xml:space="preserve"> </w:t>
      </w:r>
      <w:r>
        <w:t xml:space="preserve">Mechanical Engineering</w:t>
      </w:r>
    </w:p>
    <w:p>
      <w:pPr>
        <w:pStyle w:val="BodyText"/>
      </w:pPr>
      <w:r>
        <w:rPr>
          <w:bCs/>
          <w:b/>
        </w:rPr>
        <w:t xml:space="preserve">Protocol ID:</w:t>
      </w:r>
      <w:r>
        <w:t xml:space="preserve"> </w:t>
      </w:r>
      <w:r>
        <w:t xml:space="preserve">ME-ANK-2023-045</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mechanical stress and fatigue analysis on structural components intended for industrial application within the Ankara region of Turkey. The primary objective is to ensure that all mechanical designs adhere to the rigorous safety standards mandated by the Turkish Ministry of Industry and Technology and comply with international ISO standards commonly adopted by Turkish engineering firms.</w:t>
      </w:r>
    </w:p>
    <w:p>
      <w:pPr>
        <w:pStyle w:val="BodyText"/>
      </w:pPr>
      <w:r>
        <w:t xml:space="preserve">The Mechanical Engineer responsible for this protocol must ensure that the experimental data collected is accurate, reproducible, and suitable for certification purposes. Given Ankara's status as a hub for defense, aerospace, and heavy industry, the integrity of these mechanical tests is paramount for national infrastructure and manufacturing excellence.</w:t>
      </w:r>
    </w:p>
    <w:bookmarkEnd w:id="21"/>
    <w:bookmarkStart w:id="22" w:name="scope-and-applicability"/>
    <w:p>
      <w:pPr>
        <w:pStyle w:val="Heading2"/>
      </w:pPr>
      <w:r>
        <w:t xml:space="preserve">2. Scope and Applicability</w:t>
      </w:r>
    </w:p>
    <w:p>
      <w:pPr>
        <w:pStyle w:val="FirstParagraph"/>
      </w:pPr>
      <w:r>
        <w:t xml:space="preserve">This protocol applies to all mechanical engineering projects involving load-bearing components, pressure vessels, and rotating machinery located within the Ankara metropolitan area. It is specifically designed for use in laboratories accredited by the Turkish Accreditation Agency (TÜRKAK). The scope includes:</w:t>
      </w:r>
    </w:p>
    <w:p>
      <w:pPr>
        <w:numPr>
          <w:ilvl w:val="0"/>
          <w:numId w:val="1001"/>
        </w:numPr>
        <w:pStyle w:val="Compact"/>
      </w:pPr>
      <w:r>
        <w:t xml:space="preserve">Tensile and compressive strength testing.</w:t>
      </w:r>
    </w:p>
    <w:p>
      <w:pPr>
        <w:numPr>
          <w:ilvl w:val="0"/>
          <w:numId w:val="1001"/>
        </w:numPr>
        <w:pStyle w:val="Compact"/>
      </w:pPr>
      <w:r>
        <w:t xml:space="preserve">Hardness testing of metallic alloys.</w:t>
      </w:r>
    </w:p>
    <w:p>
      <w:pPr>
        <w:numPr>
          <w:ilvl w:val="0"/>
          <w:numId w:val="1001"/>
        </w:numPr>
        <w:pStyle w:val="Compact"/>
      </w:pPr>
      <w:r>
        <w:t xml:space="preserve">Non-destructive testing (NDT) procedures.</w:t>
      </w:r>
    </w:p>
    <w:p>
      <w:pPr>
        <w:numPr>
          <w:ilvl w:val="0"/>
          <w:numId w:val="1001"/>
        </w:numPr>
        <w:pStyle w:val="Compact"/>
      </w:pPr>
      <w:r>
        <w:t xml:space="preserve">Environmental stress testing relevant to Ankara's continental climate.</w:t>
      </w:r>
    </w:p>
    <w:bookmarkEnd w:id="22"/>
    <w:bookmarkStart w:id="23" w:name="regulatory-compliance"/>
    <w:p>
      <w:pPr>
        <w:pStyle w:val="Heading2"/>
      </w:pPr>
      <w:r>
        <w:t xml:space="preserve">3. Regulatory Compliance</w:t>
      </w:r>
    </w:p>
    <w:p>
      <w:pPr>
        <w:pStyle w:val="FirstParagraph"/>
      </w:pPr>
      <w:r>
        <w:t xml:space="preserve">All experiments conducted under this protocol must strictly adhere to the following regulations:</w:t>
      </w:r>
    </w:p>
    <w:p>
      <w:pPr>
        <w:numPr>
          <w:ilvl w:val="0"/>
          <w:numId w:val="1002"/>
        </w:numPr>
        <w:pStyle w:val="Compact"/>
      </w:pPr>
      <w:r>
        <w:rPr>
          <w:bCs/>
          <w:b/>
        </w:rPr>
        <w:t xml:space="preserve">TSE Standards:</w:t>
      </w:r>
      <w:r>
        <w:t xml:space="preserve"> </w:t>
      </w:r>
      <w:r>
        <w:t xml:space="preserve">Compliance with Turkish Standards Institution (TSE) regulations regarding material properties and testing methods.</w:t>
      </w:r>
    </w:p>
    <w:p>
      <w:pPr>
        <w:numPr>
          <w:ilvl w:val="0"/>
          <w:numId w:val="1002"/>
        </w:numPr>
        <w:pStyle w:val="Compact"/>
      </w:pPr>
      <w:r>
        <w:rPr>
          <w:bCs/>
          <w:b/>
        </w:rPr>
        <w:t xml:space="preserve">ISO Standards:</w:t>
      </w:r>
      <w:r>
        <w:t xml:space="preserve"> </w:t>
      </w:r>
      <w:r>
        <w:t xml:space="preserve">Adherence to ISO 9001 for quality management and ISO 17025 for testing and calibration laboratories.</w:t>
      </w:r>
    </w:p>
    <w:p>
      <w:pPr>
        <w:numPr>
          <w:ilvl w:val="0"/>
          <w:numId w:val="1002"/>
        </w:numPr>
        <w:pStyle w:val="Compact"/>
      </w:pPr>
      <w:r>
        <w:rPr>
          <w:bCs/>
          <w:b/>
        </w:rPr>
        <w:t xml:space="preserve">Local Regulations:</w:t>
      </w:r>
      <w:r>
        <w:t xml:space="preserve"> </w:t>
      </w:r>
      <w:r>
        <w:t xml:space="preserve">Observance of Ankara Metropolitan Municipality environmental and safety codes regarding waste disposal and noise pollution during testing.</w:t>
      </w:r>
    </w:p>
    <w:bookmarkEnd w:id="23"/>
    <w:bookmarkStart w:id="24" w:name="equipment-and-calibration"/>
    <w:p>
      <w:pPr>
        <w:pStyle w:val="Heading2"/>
      </w:pPr>
      <w:r>
        <w:t xml:space="preserve">4. Equipment and Calibration</w:t>
      </w:r>
    </w:p>
    <w:p>
      <w:pPr>
        <w:pStyle w:val="FirstParagraph"/>
      </w:pPr>
      <w:r>
        <w:t xml:space="preserve">The Mechanical Engineer must verify that all testing equipment is calibrated and certified prior to the commencement of any experiment. The following equipment is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Calibration Frequency</w:t>
            </w:r>
          </w:p>
        </w:tc>
      </w:tr>
      <w:tr>
        <w:tc>
          <w:tcPr/>
          <w:p>
            <w:pPr>
              <w:pStyle w:val="Compact"/>
              <w:jc w:val="left"/>
            </w:pPr>
            <w:r>
              <w:t xml:space="preserve">Universal Testing Machine</w:t>
            </w:r>
          </w:p>
        </w:tc>
        <w:tc>
          <w:tcPr/>
          <w:p>
            <w:pPr>
              <w:pStyle w:val="Compact"/>
              <w:jc w:val="left"/>
            </w:pPr>
            <w:r>
              <w:t xml:space="preserve">Capacity: 1000 kN, Accuracy: Class 1</w:t>
            </w:r>
          </w:p>
        </w:tc>
        <w:tc>
          <w:tcPr/>
          <w:p>
            <w:pPr>
              <w:pStyle w:val="Compact"/>
              <w:jc w:val="left"/>
            </w:pPr>
            <w:r>
              <w:t xml:space="preserve">Annually</w:t>
            </w:r>
          </w:p>
        </w:tc>
      </w:tr>
      <w:tr>
        <w:tc>
          <w:tcPr/>
          <w:p>
            <w:pPr>
              <w:pStyle w:val="Compact"/>
              <w:jc w:val="left"/>
            </w:pPr>
            <w:r>
              <w:t xml:space="preserve">Hardness Tester</w:t>
            </w:r>
          </w:p>
        </w:tc>
        <w:tc>
          <w:tcPr/>
          <w:p>
            <w:pPr>
              <w:pStyle w:val="Compact"/>
              <w:jc w:val="left"/>
            </w:pPr>
            <w:r>
              <w:t xml:space="preserve">Rockwell and Vickers scales</w:t>
            </w:r>
          </w:p>
        </w:tc>
        <w:tc>
          <w:tcPr/>
          <w:p>
            <w:pPr>
              <w:pStyle w:val="Compact"/>
              <w:jc w:val="left"/>
            </w:pPr>
            <w:r>
              <w:t xml:space="preserve">Semi-Annually</w:t>
            </w:r>
          </w:p>
        </w:tc>
      </w:tr>
      <w:tr>
        <w:tc>
          <w:tcPr/>
          <w:p>
            <w:pPr>
              <w:pStyle w:val="Compact"/>
              <w:jc w:val="left"/>
            </w:pPr>
            <w:r>
              <w:t xml:space="preserve">Strain Gauges</w:t>
            </w:r>
          </w:p>
        </w:tc>
        <w:tc>
          <w:tcPr/>
          <w:p>
            <w:pPr>
              <w:pStyle w:val="Compact"/>
              <w:jc w:val="left"/>
            </w:pPr>
            <w:r>
              <w:t xml:space="preserve">High-precision foil type</w:t>
            </w:r>
          </w:p>
        </w:tc>
        <w:tc>
          <w:tcPr/>
          <w:p>
            <w:pPr>
              <w:pStyle w:val="Compact"/>
              <w:jc w:val="left"/>
            </w:pPr>
            <w:r>
              <w:t xml:space="preserve">Per Batch</w:t>
            </w:r>
          </w:p>
        </w:tc>
      </w:tr>
      <w:tr>
        <w:tc>
          <w:tcPr/>
          <w:p>
            <w:pPr>
              <w:pStyle w:val="Compact"/>
              <w:jc w:val="left"/>
            </w:pPr>
            <w:r>
              <w:t xml:space="preserve">Environmental Chamber</w:t>
            </w:r>
          </w:p>
        </w:tc>
        <w:tc>
          <w:tcPr/>
          <w:p>
            <w:pPr>
              <w:pStyle w:val="Compact"/>
              <w:jc w:val="left"/>
            </w:pPr>
            <w:r>
              <w:t xml:space="preserve">Range: -40°C to +80°C</w:t>
            </w:r>
          </w:p>
        </w:tc>
        <w:tc>
          <w:tcPr/>
          <w:p>
            <w:pPr>
              <w:pStyle w:val="Compact"/>
              <w:jc w:val="left"/>
            </w:pPr>
            <w:r>
              <w:t xml:space="preserve">Annually</w:t>
            </w:r>
          </w:p>
        </w:tc>
      </w:tr>
    </w:tbl>
    <w:p>
      <w:pPr>
        <w:pStyle w:val="BodyText"/>
      </w:pPr>
      <w:r>
        <w:t xml:space="preserve">All calibration certificates must be archived in the laboratory's digital management system, accessible for audit by TÜRKAK inspectors.</w:t>
      </w:r>
    </w:p>
    <w:bookmarkEnd w:id="24"/>
    <w:bookmarkStart w:id="25" w:name="experimental-procedure"/>
    <w:p>
      <w:pPr>
        <w:pStyle w:val="Heading2"/>
      </w:pPr>
      <w:r>
        <w:t xml:space="preserve">5. Experimental Procedure</w:t>
      </w:r>
    </w:p>
    <w:p>
      <w:pPr>
        <w:pStyle w:val="FirstParagraph"/>
      </w:pPr>
      <w:r>
        <w:t xml:space="preserve">The Mechanical Engineer shall follow these steps to ensure consistency and accuracy:</w:t>
      </w:r>
    </w:p>
    <w:p>
      <w:pPr>
        <w:numPr>
          <w:ilvl w:val="0"/>
          <w:numId w:val="1003"/>
        </w:numPr>
        <w:pStyle w:val="Compact"/>
      </w:pPr>
      <w:r>
        <w:rPr>
          <w:bCs/>
          <w:b/>
        </w:rPr>
        <w:t xml:space="preserve">Sample Preparation:</w:t>
      </w:r>
      <w:r>
        <w:t xml:space="preserve"> </w:t>
      </w:r>
      <w:r>
        <w:t xml:space="preserve">Prepare test specimens according to TSE EN ISO 6892-1 standards. Ensure surface finish is uniform to prevent stress concentrations.</w:t>
      </w:r>
    </w:p>
    <w:p>
      <w:pPr>
        <w:numPr>
          <w:ilvl w:val="0"/>
          <w:numId w:val="1003"/>
        </w:numPr>
        <w:pStyle w:val="Compact"/>
      </w:pPr>
      <w:r>
        <w:rPr>
          <w:bCs/>
          <w:b/>
        </w:rPr>
        <w:t xml:space="preserve">Initial Inspection:</w:t>
      </w:r>
      <w:r>
        <w:t xml:space="preserve"> </w:t>
      </w:r>
      <w:r>
        <w:t xml:space="preserve">Conduct a visual and dimensional inspection of each specimen. Record any defects or deviations.</w:t>
      </w:r>
    </w:p>
    <w:p>
      <w:pPr>
        <w:numPr>
          <w:ilvl w:val="0"/>
          <w:numId w:val="1003"/>
        </w:numPr>
        <w:pStyle w:val="Compact"/>
      </w:pPr>
      <w:r>
        <w:rPr>
          <w:bCs/>
          <w:b/>
        </w:rPr>
        <w:t xml:space="preserve">Mounting:</w:t>
      </w:r>
      <w:r>
        <w:t xml:space="preserve"> </w:t>
      </w:r>
      <w:r>
        <w:t xml:space="preserve">Secure the specimen in the testing machine using appropriate fixtures. Ensure alignment to avoid eccentric loading.</w:t>
      </w:r>
    </w:p>
    <w:p>
      <w:pPr>
        <w:numPr>
          <w:ilvl w:val="0"/>
          <w:numId w:val="1003"/>
        </w:numPr>
        <w:pStyle w:val="Compact"/>
      </w:pPr>
      <w:r>
        <w:rPr>
          <w:bCs/>
          <w:b/>
        </w:rPr>
        <w:t xml:space="preserve">Load Application:</w:t>
      </w:r>
      <w:r>
        <w:t xml:space="preserve"> </w:t>
      </w:r>
      <w:r>
        <w:t xml:space="preserve">Apply load at a controlled rate as specified in the test plan. Monitor strain gauge readings in real-time.</w:t>
      </w:r>
    </w:p>
    <w:p>
      <w:pPr>
        <w:numPr>
          <w:ilvl w:val="0"/>
          <w:numId w:val="1003"/>
        </w:numPr>
        <w:pStyle w:val="Compact"/>
      </w:pPr>
      <w:r>
        <w:rPr>
          <w:bCs/>
          <w:b/>
        </w:rPr>
        <w:t xml:space="preserve">Data Recording:</w:t>
      </w:r>
      <w:r>
        <w:t xml:space="preserve"> </w:t>
      </w:r>
      <w:r>
        <w:t xml:space="preserve">Log all data points at intervals of 0.5 seconds. Capture images of the specimen at key stress levels.</w:t>
      </w:r>
    </w:p>
    <w:p>
      <w:pPr>
        <w:numPr>
          <w:ilvl w:val="0"/>
          <w:numId w:val="1003"/>
        </w:numPr>
        <w:pStyle w:val="Compact"/>
      </w:pPr>
      <w:r>
        <w:rPr>
          <w:bCs/>
          <w:b/>
        </w:rPr>
        <w:t xml:space="preserve">Failure Analysis:</w:t>
      </w:r>
      <w:r>
        <w:t xml:space="preserve"> </w:t>
      </w:r>
      <w:r>
        <w:t xml:space="preserve">Upon specimen failure, document the mode of failure (ductile, brittle, fatigue) and collect fragments for metallurgical analysis if required.</w:t>
      </w:r>
    </w:p>
    <w:bookmarkEnd w:id="25"/>
    <w:bookmarkStart w:id="26" w:name="environmental-considerations"/>
    <w:p>
      <w:pPr>
        <w:pStyle w:val="Heading2"/>
      </w:pPr>
      <w:r>
        <w:t xml:space="preserve">6. Environmental Considerations</w:t>
      </w:r>
    </w:p>
    <w:p>
      <w:pPr>
        <w:pStyle w:val="FirstParagraph"/>
      </w:pPr>
      <w:r>
        <w:t xml:space="preserve">Given the specific climate of Ankara, which experiences cold winters and hot summers, environmental testing is a critical component of this protocol. The Mechanical Engineer must simulate these conditions to ensure component reliability:</w:t>
      </w:r>
    </w:p>
    <w:p>
      <w:pPr>
        <w:numPr>
          <w:ilvl w:val="0"/>
          <w:numId w:val="1004"/>
        </w:numPr>
        <w:pStyle w:val="Compact"/>
      </w:pPr>
      <w:r>
        <w:rPr>
          <w:bCs/>
          <w:b/>
        </w:rPr>
        <w:t xml:space="preserve">Thermal Cycling:</w:t>
      </w:r>
      <w:r>
        <w:t xml:space="preserve"> </w:t>
      </w:r>
      <w:r>
        <w:t xml:space="preserve">Subject components to temperature cycles ranging from -15°C to +40°C to mimic seasonal variations.</w:t>
      </w:r>
    </w:p>
    <w:p>
      <w:pPr>
        <w:numPr>
          <w:ilvl w:val="0"/>
          <w:numId w:val="1004"/>
        </w:numPr>
        <w:pStyle w:val="Compact"/>
      </w:pPr>
      <w:r>
        <w:rPr>
          <w:bCs/>
          <w:b/>
        </w:rPr>
        <w:t xml:space="preserve">Humidity Control:</w:t>
      </w:r>
      <w:r>
        <w:t xml:space="preserve"> </w:t>
      </w:r>
      <w:r>
        <w:t xml:space="preserve">Maintain relative humidity between 40% and 60% during standard tests to prevent corrosion artifacts.</w:t>
      </w:r>
    </w:p>
    <w:bookmarkEnd w:id="26"/>
    <w:bookmarkStart w:id="27" w:name="safety-protocols"/>
    <w:p>
      <w:pPr>
        <w:pStyle w:val="Heading2"/>
      </w:pPr>
      <w:r>
        <w:t xml:space="preserve">7. Safety Protocols</w:t>
      </w:r>
    </w:p>
    <w:p>
      <w:pPr>
        <w:pStyle w:val="FirstParagraph"/>
      </w:pPr>
      <w:r>
        <w:t xml:space="preserve">Safety is the highest priority in this Experiment Protocol. The Mechanical Engineer must ensure that all personnel are trained in:</w:t>
      </w:r>
    </w:p>
    <w:p>
      <w:pPr>
        <w:numPr>
          <w:ilvl w:val="0"/>
          <w:numId w:val="1005"/>
        </w:numPr>
        <w:pStyle w:val="Compact"/>
      </w:pPr>
      <w:r>
        <w:t xml:space="preserve">Proper use of personal protective equipment (PPE), including safety glasses, gloves, and steel-toed boots.</w:t>
      </w:r>
    </w:p>
    <w:p>
      <w:pPr>
        <w:numPr>
          <w:ilvl w:val="0"/>
          <w:numId w:val="1005"/>
        </w:numPr>
        <w:pStyle w:val="Compact"/>
      </w:pPr>
      <w:r>
        <w:t xml:space="preserve">Emergency shutdown procedures for testing equipment.</w:t>
      </w:r>
    </w:p>
    <w:p>
      <w:pPr>
        <w:numPr>
          <w:ilvl w:val="0"/>
          <w:numId w:val="1005"/>
        </w:numPr>
        <w:pStyle w:val="Compact"/>
      </w:pPr>
      <w:r>
        <w:t xml:space="preserve">Handling of hazardous materials and waste disposal in accordance with Ankara municipal regulations.</w:t>
      </w:r>
    </w:p>
    <w:p>
      <w:pPr>
        <w:pStyle w:val="FirstParagraph"/>
      </w:pPr>
      <w:r>
        <w:t xml:space="preserve">A safety officer must be present during all high-load testing phases.</w:t>
      </w:r>
    </w:p>
    <w:bookmarkEnd w:id="27"/>
    <w:bookmarkStart w:id="28" w:name="data-analysis-and-reporting"/>
    <w:p>
      <w:pPr>
        <w:pStyle w:val="Heading2"/>
      </w:pPr>
      <w:r>
        <w:t xml:space="preserve">8. Data Analysis and Reporting</w:t>
      </w:r>
    </w:p>
    <w:p>
      <w:pPr>
        <w:pStyle w:val="FirstParagraph"/>
      </w:pPr>
      <w:r>
        <w:t xml:space="preserve">Upon completion of the experiments, the Mechanical Engineer must compile a comprehensive report including:</w:t>
      </w:r>
    </w:p>
    <w:p>
      <w:pPr>
        <w:numPr>
          <w:ilvl w:val="0"/>
          <w:numId w:val="1006"/>
        </w:numPr>
        <w:pStyle w:val="Compact"/>
      </w:pPr>
      <w:r>
        <w:t xml:space="preserve">Summary of test conditions and parameters.</w:t>
      </w:r>
    </w:p>
    <w:p>
      <w:pPr>
        <w:numPr>
          <w:ilvl w:val="0"/>
          <w:numId w:val="1006"/>
        </w:numPr>
        <w:pStyle w:val="Compact"/>
      </w:pPr>
      <w:r>
        <w:t xml:space="preserve">Graphical representation of stress-strain curves.</w:t>
      </w:r>
    </w:p>
    <w:p>
      <w:pPr>
        <w:numPr>
          <w:ilvl w:val="0"/>
          <w:numId w:val="1006"/>
        </w:numPr>
        <w:pStyle w:val="Compact"/>
      </w:pPr>
      <w:r>
        <w:t xml:space="preserve">Comparison of results against TSE and ISO standards.</w:t>
      </w:r>
    </w:p>
    <w:p>
      <w:pPr>
        <w:numPr>
          <w:ilvl w:val="0"/>
          <w:numId w:val="1006"/>
        </w:numPr>
        <w:pStyle w:val="Compact"/>
      </w:pPr>
      <w:r>
        <w:t xml:space="preserve">Recommendations for design improvements or material selection.</w:t>
      </w:r>
    </w:p>
    <w:p>
      <w:pPr>
        <w:pStyle w:val="FirstParagraph"/>
      </w:pPr>
      <w:r>
        <w:t xml:space="preserve">The report must be signed by the lead Mechanical Engineer and submitted to the project manager within five business days.</w:t>
      </w:r>
    </w:p>
    <w:bookmarkEnd w:id="28"/>
    <w:bookmarkStart w:id="29" w:name="approval-and-signatures"/>
    <w:p>
      <w:pPr>
        <w:pStyle w:val="Heading2"/>
      </w:pPr>
      <w:r>
        <w:t xml:space="preserve">9. Approval and Signatures</w:t>
      </w:r>
    </w:p>
    <w:p>
      <w:pPr>
        <w:pStyle w:val="FirstParagraph"/>
      </w:pPr>
      <w:r>
        <w:t xml:space="preserve">This Experiment Protocol is approved for use in all mechanical engineering projects within Ankara, Turkey, effective immediately.</w:t>
      </w:r>
    </w:p>
    <w:p>
      <w:pPr>
        <w:pStyle w:val="BodyText"/>
      </w:pPr>
      <w:r>
        <w:rPr>
          <w:bCs/>
          <w:b/>
        </w:rPr>
        <w:t xml:space="preserve">Lead Mechanical Engineer</w:t>
      </w:r>
    </w:p>
    <w:p>
      <w:pPr>
        <w:pStyle w:val="BodyText"/>
      </w:pPr>
      <w:r>
        <w:t xml:space="preserve">Name: ________________________</w:t>
      </w:r>
    </w:p>
    <w:p>
      <w:pPr>
        <w:pStyle w:val="BodyText"/>
      </w:pPr>
      <w:r>
        <w:t xml:space="preserve">Date: ________________________</w:t>
      </w:r>
    </w:p>
    <w:p>
      <w:pPr>
        <w:pStyle w:val="BodyText"/>
      </w:pPr>
      <w:r>
        <w:rPr>
          <w:bCs/>
          <w:b/>
        </w:rPr>
        <w:t xml:space="preserve">Quality Assurance Manager</w:t>
      </w:r>
    </w:p>
    <w:p>
      <w:pPr>
        <w:pStyle w:val="BodyText"/>
      </w:pPr>
      <w:r>
        <w:t xml:space="preserve">Name: ________________________</w:t>
      </w:r>
    </w:p>
    <w:p>
      <w:pPr>
        <w:pStyle w:val="BodyText"/>
      </w:pPr>
      <w:r>
        <w:t xml:space="preserve">Date: 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Standards - Ankara, Turkey</dc:title>
  <dc:creator/>
  <dc:language>en</dc:language>
  <cp:keywords/>
  <dcterms:created xsi:type="dcterms:W3CDTF">2026-10-10T01:02:52Z</dcterms:created>
  <dcterms:modified xsi:type="dcterms:W3CDTF">2026-10-10T01:02:52Z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