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Structural Integrity and Thermal Performance Analysis of Advanced Composite Materials for Automotive Applications</w:t>
      </w:r>
    </w:p>
    <w:p>
      <w:pPr>
        <w:pStyle w:val="BodyText"/>
      </w:pPr>
      <w:r>
        <w:rPr>
          <w:bCs/>
          <w:b/>
        </w:rPr>
        <w:t xml:space="preserve">Location:</w:t>
      </w:r>
      <w:r>
        <w:t xml:space="preserve"> </w:t>
      </w:r>
      <w:r>
        <w:t xml:space="preserve">United Kingdom Birmingham, West Midlands Innovation Hub</w:t>
      </w:r>
    </w:p>
    <w:p>
      <w:pPr>
        <w:pStyle w:val="BodyText"/>
      </w:pPr>
      <w:r>
        <w:rPr>
          <w:bCs/>
          <w:b/>
        </w:rPr>
        <w:t xml:space="preserve">Lead Discipline:</w:t>
      </w:r>
      <w:r>
        <w:t xml:space="preserve"> </w:t>
      </w:r>
      <w:r>
        <w:t xml:space="preserve">Mechanical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Experiment Protocol outlines the rigorous testing procedures to be conducted by a qualified Mechanical Engineer within the industrial testing facilities located in United Kingdom Birmingham. Birmingham, historically known as the "City of a Thousand Trades" and a global leader in manufacturing and engineering, provides the ideal environment for this study due to its proximity to major automotive supply chains and advanced materials research centres.</w:t>
      </w:r>
    </w:p>
    <w:p>
      <w:pPr>
        <w:pStyle w:val="BodyText"/>
      </w:pPr>
      <w:r>
        <w:t xml:space="preserve">The primary objective is to evaluate the mechanical properties and thermal stability of a novel carbon-fibre-reinforced polymer (CFRP) composite intended for high-performance vehicle chassis components. The Mechanical Engineer will oversee the experimental design, execution, and data analysis to ensure compliance with British Standards (BS) and International Organization for Standardization (ISO) regulations.</w:t>
      </w:r>
    </w:p>
    <w:p>
      <w:pPr>
        <w:pStyle w:val="BodyText"/>
      </w:pPr>
      <w:r>
        <w:t xml:space="preserve">2. Scope and Regulatory Compliance</w:t>
      </w:r>
    </w:p>
    <w:p>
      <w:pPr>
        <w:pStyle w:val="BodyText"/>
      </w:pPr>
      <w:r>
        <w:t xml:space="preserve">The scope of this experiment is limited to tensile testing, flexural testing, and thermal gravimetric analysis (TGA). All procedures must adhere to the Health and Safety at Work etc. Act 1974, which is strictly enforced in the United Kingdom. Furthermore, the Mechanical Engineer must ensure that all testing methodologies align with BS EN ISO 527 for plastics tensile testing and BS EN ISO 178 for flexural testing.</w:t>
      </w:r>
    </w:p>
    <w:p>
      <w:pPr>
        <w:pStyle w:val="BodyText"/>
      </w:pPr>
      <w:r>
        <w:t xml:space="preserve">Given the location in Birmingham, the protocol also considers local environmental factors, such as ambient humidity and temperature variations typical of the West Midlands, which may influence material behaviour during preliminary conditioning phases.</w:t>
      </w:r>
    </w:p>
    <w:p>
      <w:pPr>
        <w:pStyle w:val="BodyText"/>
      </w:pPr>
      <w:r>
        <w:t xml:space="preserve">3. Roles and Responsibilities</w:t>
      </w:r>
    </w:p>
    <w:p>
      <w:pPr>
        <w:pStyle w:val="BodyText"/>
      </w:pPr>
      <w:r>
        <w:t xml:space="preserve">The Mechanical Engineer is the principal investigator responsible for the integrity of the experiment. Specific responsibilities include:</w:t>
      </w:r>
    </w:p>
    <w:p>
      <w:pPr>
        <w:numPr>
          <w:ilvl w:val="0"/>
          <w:numId w:val="1001"/>
        </w:numPr>
        <w:pStyle w:val="Compact"/>
      </w:pPr>
      <w:r>
        <w:t xml:space="preserve">Designing the experimental setup and selecting appropriate instrumentation.</w:t>
      </w:r>
    </w:p>
    <w:p>
      <w:pPr>
        <w:numPr>
          <w:ilvl w:val="0"/>
          <w:numId w:val="1001"/>
        </w:numPr>
        <w:pStyle w:val="Compact"/>
      </w:pPr>
      <w:r>
        <w:t xml:space="preserve">Conducting risk assessments in accordance with UK Health and Safety Executive (HSE) guidelines.</w:t>
      </w:r>
    </w:p>
    <w:p>
      <w:pPr>
        <w:numPr>
          <w:ilvl w:val="0"/>
          <w:numId w:val="1001"/>
        </w:numPr>
        <w:pStyle w:val="Compact"/>
      </w:pPr>
      <w:r>
        <w:t xml:space="preserve">Calibrating all testing equipment prior to use.</w:t>
      </w:r>
    </w:p>
    <w:p>
      <w:pPr>
        <w:numPr>
          <w:ilvl w:val="0"/>
          <w:numId w:val="1001"/>
        </w:numPr>
        <w:pStyle w:val="Compact"/>
      </w:pPr>
      <w:r>
        <w:t xml:space="preserve">Recording data accurately and maintaining a traceable audit trail.</w:t>
      </w:r>
    </w:p>
    <w:p>
      <w:pPr>
        <w:numPr>
          <w:ilvl w:val="0"/>
          <w:numId w:val="1001"/>
        </w:numPr>
        <w:pStyle w:val="Compact"/>
      </w:pPr>
      <w:r>
        <w:t xml:space="preserve">Interpreting results and drafting a technical report for stakeholders in the Birmingham engineering community.</w:t>
      </w:r>
    </w:p>
    <w:p>
      <w:pPr>
        <w:pStyle w:val="FirstParagraph"/>
      </w:pPr>
      <w:r>
        <w:t xml:space="preserve">4. Materials and Equipment</w:t>
      </w:r>
    </w:p>
    <w:p>
      <w:pPr>
        <w:pStyle w:val="BodyText"/>
      </w:pPr>
      <w:r>
        <w:t xml:space="preserve">The following materials and equipment will be utilised in the United Kingdom Birmingham testing facility: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CFRP Composite Samples</w:t>
            </w:r>
          </w:p>
        </w:tc>
        <w:tc>
          <w:tcPr/>
          <w:p>
            <w:pPr>
              <w:pStyle w:val="Compact"/>
              <w:jc w:val="left"/>
            </w:pPr>
            <w:r>
              <w:t xml:space="preserve">Standard dog-bone geometry (Type 1B per ISO 527)</w:t>
            </w:r>
          </w:p>
        </w:tc>
        <w:tc>
          <w:tcPr/>
          <w:p>
            <w:pPr>
              <w:pStyle w:val="Compact"/>
              <w:jc w:val="left"/>
            </w:pPr>
            <w:r>
              <w:t xml:space="preserve">30</w:t>
            </w:r>
          </w:p>
        </w:tc>
      </w:tr>
      <w:tr>
        <w:tc>
          <w:tcPr/>
          <w:p>
            <w:pPr>
              <w:pStyle w:val="Compact"/>
              <w:jc w:val="left"/>
            </w:pPr>
            <w:r>
              <w:t xml:space="preserve">Universal Testing Machine</w:t>
            </w:r>
          </w:p>
        </w:tc>
        <w:tc>
          <w:tcPr/>
          <w:p>
            <w:pPr>
              <w:pStyle w:val="Compact"/>
              <w:jc w:val="left"/>
            </w:pPr>
            <w:r>
              <w:t xml:space="preserve">Capacity: 100 kN, Load cell accuracy: Class 0.5</w:t>
            </w:r>
          </w:p>
        </w:tc>
        <w:tc>
          <w:tcPr/>
          <w:p>
            <w:pPr>
              <w:pStyle w:val="Compact"/>
              <w:jc w:val="left"/>
            </w:pPr>
            <w:r>
              <w:t xml:space="preserve">1</w:t>
            </w:r>
          </w:p>
        </w:tc>
      </w:tr>
      <w:tr>
        <w:tc>
          <w:tcPr/>
          <w:p>
            <w:pPr>
              <w:pStyle w:val="Compact"/>
              <w:jc w:val="left"/>
            </w:pPr>
            <w:r>
              <w:t xml:space="preserve">Environmental Chamber</w:t>
            </w:r>
          </w:p>
        </w:tc>
        <w:tc>
          <w:tcPr/>
          <w:p>
            <w:pPr>
              <w:pStyle w:val="Compact"/>
              <w:jc w:val="left"/>
            </w:pPr>
            <w:r>
              <w:t xml:space="preserve">Temperature range: -40°C to 150°C</w:t>
            </w:r>
          </w:p>
        </w:tc>
        <w:tc>
          <w:tcPr/>
          <w:p>
            <w:pPr>
              <w:pStyle w:val="Compact"/>
              <w:jc w:val="left"/>
            </w:pPr>
            <w:r>
              <w:t xml:space="preserve">1</w:t>
            </w:r>
          </w:p>
        </w:tc>
      </w:tr>
      <w:tr>
        <w:tc>
          <w:tcPr/>
          <w:p>
            <w:pPr>
              <w:pStyle w:val="Compact"/>
              <w:jc w:val="left"/>
            </w:pPr>
            <w:r>
              <w:t xml:space="preserve">Thermal Gravimetric Analyzer</w:t>
            </w:r>
          </w:p>
        </w:tc>
        <w:tc>
          <w:tcPr/>
          <w:p>
            <w:pPr>
              <w:pStyle w:val="Compact"/>
              <w:jc w:val="left"/>
            </w:pPr>
            <w:r>
              <w:t xml:space="preserve">Heating rate: 10°C/min, Nitrogen atmosphere</w:t>
            </w:r>
          </w:p>
        </w:tc>
        <w:tc>
          <w:tcPr/>
          <w:p>
            <w:pPr>
              <w:pStyle w:val="Compact"/>
              <w:jc w:val="left"/>
            </w:pPr>
            <w:r>
              <w:t xml:space="preserve">1</w:t>
            </w:r>
          </w:p>
        </w:tc>
      </w:tr>
      <w:tr>
        <w:tc>
          <w:tcPr/>
          <w:p>
            <w:pPr>
              <w:pStyle w:val="Compact"/>
              <w:jc w:val="left"/>
            </w:pPr>
            <w:r>
              <w:t xml:space="preserve">Data Acquisition System</w:t>
            </w:r>
          </w:p>
        </w:tc>
        <w:tc>
          <w:tcPr/>
          <w:p>
            <w:pPr>
              <w:pStyle w:val="Compact"/>
              <w:jc w:val="left"/>
            </w:pPr>
            <w:r>
              <w:t xml:space="preserve">Sampling rate: 100 Hz</w:t>
            </w:r>
          </w:p>
        </w:tc>
        <w:tc>
          <w:tcPr/>
          <w:p>
            <w:pPr>
              <w:pStyle w:val="Compact"/>
              <w:jc w:val="left"/>
            </w:pPr>
            <w:r>
              <w:t xml:space="preserve">1</w:t>
            </w:r>
          </w:p>
        </w:tc>
      </w:tr>
    </w:tbl>
    <w:p>
      <w:pPr>
        <w:pStyle w:val="BodyText"/>
      </w:pPr>
      <w:r>
        <w:t xml:space="preserve">5. Experimental Procedure</w:t>
      </w:r>
    </w:p>
    <w:p>
      <w:pPr>
        <w:pStyle w:val="BodyText"/>
      </w:pPr>
      <w:r>
        <w:t xml:space="preserve">The Mechanical Engineer will execute the following steps in a controlled laboratory environment in Birmingham:</w:t>
      </w:r>
    </w:p>
    <w:p>
      <w:pPr>
        <w:numPr>
          <w:ilvl w:val="0"/>
          <w:numId w:val="1002"/>
        </w:numPr>
        <w:pStyle w:val="Compact"/>
      </w:pPr>
      <w:r>
        <w:rPr>
          <w:bCs/>
          <w:b/>
        </w:rPr>
        <w:t xml:space="preserve">Sample Conditioning:</w:t>
      </w:r>
      <w:r>
        <w:t xml:space="preserve"> </w:t>
      </w:r>
      <w:r>
        <w:t xml:space="preserve">All CFRP samples will be conditioned at 23°C ± 2°C and 50% ± 5% relative humidity for a minimum of 40 hours, as per ISO 291 standards.</w:t>
      </w:r>
    </w:p>
    <w:p>
      <w:pPr>
        <w:numPr>
          <w:ilvl w:val="0"/>
          <w:numId w:val="1002"/>
        </w:numPr>
        <w:pStyle w:val="Compact"/>
      </w:pPr>
      <w:r>
        <w:rPr>
          <w:bCs/>
          <w:b/>
        </w:rPr>
        <w:t xml:space="preserve">Equipment Calibration:</w:t>
      </w:r>
      <w:r>
        <w:t xml:space="preserve"> </w:t>
      </w:r>
      <w:r>
        <w:t xml:space="preserve">The Universal Testing Machine and TGA will be calibrated using certified reference materials. Calibration certificates must be valid and on file.</w:t>
      </w:r>
    </w:p>
    <w:p>
      <w:pPr>
        <w:numPr>
          <w:ilvl w:val="0"/>
          <w:numId w:val="1002"/>
        </w:numPr>
        <w:pStyle w:val="Compact"/>
      </w:pPr>
      <w:r>
        <w:rPr>
          <w:bCs/>
          <w:b/>
        </w:rPr>
        <w:t xml:space="preserve">Tensile Testing:</w:t>
      </w:r>
      <w:r>
        <w:t xml:space="preserve"> </w:t>
      </w:r>
      <w:r>
        <w:t xml:space="preserve">Samples will be mounted in the testing machine with a crosshead speed of 2 mm/min. The test will continue until failure. Load and displacement data will be recorded continuously.</w:t>
      </w:r>
    </w:p>
    <w:p>
      <w:pPr>
        <w:numPr>
          <w:ilvl w:val="0"/>
          <w:numId w:val="1002"/>
        </w:numPr>
        <w:pStyle w:val="Compact"/>
      </w:pPr>
      <w:r>
        <w:rPr>
          <w:bCs/>
          <w:b/>
        </w:rPr>
        <w:t xml:space="preserve">Flexural Testing:</w:t>
      </w:r>
      <w:r>
        <w:t xml:space="preserve"> </w:t>
      </w:r>
      <w:r>
        <w:t xml:space="preserve">Using a three-point bending fixture, samples will be tested at a crosshead speed of 2 mm/min. The span length will be set to 16 times the sample thickness.</w:t>
      </w:r>
    </w:p>
    <w:p>
      <w:pPr>
        <w:numPr>
          <w:ilvl w:val="0"/>
          <w:numId w:val="1002"/>
        </w:numPr>
        <w:pStyle w:val="Compact"/>
      </w:pPr>
      <w:r>
        <w:rPr>
          <w:bCs/>
          <w:b/>
        </w:rPr>
        <w:t xml:space="preserve">Thermal Analysis:</w:t>
      </w:r>
      <w:r>
        <w:t xml:space="preserve"> </w:t>
      </w:r>
      <w:r>
        <w:t xml:space="preserve">Small specimens (approx. 10 mg) will be subjected to TGA from room temperature to 800°C to determine decomposition temperatures and residual mass.</w:t>
      </w:r>
    </w:p>
    <w:p>
      <w:pPr>
        <w:numPr>
          <w:ilvl w:val="0"/>
          <w:numId w:val="1002"/>
        </w:numPr>
        <w:pStyle w:val="Compact"/>
      </w:pPr>
      <w:r>
        <w:rPr>
          <w:bCs/>
          <w:b/>
        </w:rPr>
        <w:t xml:space="preserve">Post-Test Inspection:</w:t>
      </w:r>
      <w:r>
        <w:t xml:space="preserve"> </w:t>
      </w:r>
      <w:r>
        <w:t xml:space="preserve">Fracture surfaces will be examined visually and, if necessary, using scanning electron microscopy (SEM) to identify failure modes.</w:t>
      </w:r>
    </w:p>
    <w:p>
      <w:pPr>
        <w:pStyle w:val="FirstParagraph"/>
      </w:pPr>
      <w:r>
        <w:t xml:space="preserve">6. Safety and Risk Management</w:t>
      </w:r>
    </w:p>
    <w:p>
      <w:pPr>
        <w:pStyle w:val="BodyText"/>
      </w:pPr>
      <w:r>
        <w:t xml:space="preserve">Safety is paramount. The Mechanical Engineer must conduct a thorough risk assessment before commencing any work. Key hazards include:</w:t>
      </w:r>
    </w:p>
    <w:p>
      <w:pPr>
        <w:numPr>
          <w:ilvl w:val="0"/>
          <w:numId w:val="1003"/>
        </w:numPr>
        <w:pStyle w:val="Compact"/>
      </w:pPr>
      <w:r>
        <w:rPr>
          <w:bCs/>
          <w:b/>
        </w:rPr>
        <w:t xml:space="preserve">Mechanical Hazards:</w:t>
      </w:r>
      <w:r>
        <w:t xml:space="preserve"> </w:t>
      </w:r>
      <w:r>
        <w:t xml:space="preserve">Moving parts of the testing machine. Mitigation: Use of safety guards and emergency stop buttons.</w:t>
      </w:r>
    </w:p>
    <w:p>
      <w:pPr>
        <w:numPr>
          <w:ilvl w:val="0"/>
          <w:numId w:val="1003"/>
        </w:numPr>
        <w:pStyle w:val="Compact"/>
      </w:pPr>
      <w:r>
        <w:rPr>
          <w:bCs/>
          <w:b/>
        </w:rPr>
        <w:t xml:space="preserve">Material Hazards:</w:t>
      </w:r>
      <w:r>
        <w:t xml:space="preserve"> </w:t>
      </w:r>
      <w:r>
        <w:t xml:space="preserve">CFRP dust is hazardous if inhaled. Mitigation: Use of appropriate PPE (respirators, gloves) and local exhaust ventilation.</w:t>
      </w:r>
    </w:p>
    <w:p>
      <w:pPr>
        <w:numPr>
          <w:ilvl w:val="0"/>
          <w:numId w:val="1003"/>
        </w:numPr>
        <w:pStyle w:val="Compact"/>
      </w:pPr>
      <w:r>
        <w:rPr>
          <w:bCs/>
          <w:b/>
        </w:rPr>
        <w:t xml:space="preserve">Thermal Hazards:</w:t>
      </w:r>
      <w:r>
        <w:t xml:space="preserve"> </w:t>
      </w:r>
      <w:r>
        <w:t xml:space="preserve">High temperatures during TGA. Mitigation: Use of heat-resistant gloves and clear warning signage.</w:t>
      </w:r>
    </w:p>
    <w:p>
      <w:pPr>
        <w:pStyle w:val="FirstParagraph"/>
      </w:pPr>
      <w:r>
        <w:t xml:space="preserve">All personnel must be trained in emergency procedures specific to the Birmingham facility, including evacuation routes and first aid protocols.</w:t>
      </w:r>
    </w:p>
    <w:p>
      <w:pPr>
        <w:pStyle w:val="BodyText"/>
      </w:pPr>
      <w:r>
        <w:t xml:space="preserve">7. Data Analysis and Reporting</w:t>
      </w:r>
    </w:p>
    <w:p>
      <w:pPr>
        <w:pStyle w:val="BodyText"/>
      </w:pPr>
      <w:r>
        <w:t xml:space="preserve">The Mechanical Engineer will analyse the collected data using statistical methods to determine mean values, standard deviations, and confidence intervals for key properties such as tensile strength, Young's modulus, and flexural strength. Results will be compared against industry benchmarks and design requirements.</w:t>
      </w:r>
    </w:p>
    <w:p>
      <w:pPr>
        <w:pStyle w:val="BodyText"/>
      </w:pPr>
      <w:r>
        <w:t xml:space="preserve">A comprehensive report will be generated, detailing the methodology, results, and conclusions. This report will be submitted to the project stakeholders and archived in accordance with UK data protection regulations (GDPR). The findings will contribute to the advancement of lightweight materials technology in the Birmingham automotive sector.</w:t>
      </w:r>
    </w:p>
    <w:p>
      <w:pPr>
        <w:pStyle w:val="BodyText"/>
      </w:pPr>
      <w:r>
        <w:t xml:space="preserve">8. Approval and Sign-Off</w:t>
      </w:r>
    </w:p>
    <w:p>
      <w:pPr>
        <w:pStyle w:val="BodyText"/>
      </w:pPr>
      <w:r>
        <w:t xml:space="preserve">This Experiment Protocol has been reviewed and approved by the following: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Lead Mechanical Engineer</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Health and Safety Officer</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Project Manager</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bl>
    <w:p>
      <w:pPr>
        <w:pStyle w:val="BodyText"/>
      </w:pPr>
      <w:r>
        <w:t xml:space="preserve">Document Control: This document is the property of the Birmingham Engineering Research Group. Unauthorized reproduction or distribution is prohibited.</w:t>
      </w:r>
    </w:p>
    <w:p>
      <w:pPr>
        <w:pStyle w:val="BodyText"/>
      </w:pPr>
      <w:r>
        <w:t xml:space="preserve">End of Experiment Protocol.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United Kingdom Birmingham</dc:title>
  <dc:creator/>
  <dc:language>en</dc:language>
  <cp:keywords/>
  <dcterms:created xsi:type="dcterms:W3CDTF">2026-10-10T02:10:11Z</dcterms:created>
  <dcterms:modified xsi:type="dcterms:W3CDTF">2026-10-10T02:10:11Z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