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High-Temperature Fatigue Analysis of Alloy Components for Offshore Energy Infrastructure</w:t>
      </w:r>
    </w:p>
    <w:p>
      <w:pPr>
        <w:pStyle w:val="BodyText"/>
      </w:pPr>
      <w:r>
        <w:rPr>
          <w:bCs/>
          <w:b/>
        </w:rPr>
        <w:t xml:space="preserve">Location:</w:t>
      </w:r>
      <w:r>
        <w:t xml:space="preserve"> </w:t>
      </w:r>
      <w:r>
        <w:t xml:space="preserve">Houston, Texas, United States</w:t>
      </w:r>
    </w:p>
    <w:p>
      <w:pPr>
        <w:pStyle w:val="BodyText"/>
      </w:pPr>
      <w:r>
        <w:rPr>
          <w:bCs/>
          <w:b/>
        </w:rPr>
        <w:t xml:space="preserve">Prepared By:</w:t>
      </w:r>
      <w:r>
        <w:t xml:space="preserve"> </w:t>
      </w:r>
      <w:r>
        <w:t xml:space="preserve">Lead Mechanical Engineer</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ME-HOU-2023-045</w:t>
      </w:r>
    </w:p>
    <w:bookmarkEnd w:id="20"/>
    <w:p>
      <w:pPr>
        <w:pStyle w:val="BodyText"/>
      </w:pPr>
      <w:r>
        <w:t xml:space="preserve">1.0 Objective and Scope</w:t>
      </w:r>
    </w:p>
    <w:p>
      <w:pPr>
        <w:pStyle w:val="BodyText"/>
      </w:pPr>
      <w:r>
        <w:t xml:space="preserve">This Experiment Protocol outlines the standardized procedures to be followed by the Mechanical Engineer team located in Houston, United States, for the evaluation of material fatigue resistance under simulated offshore conditions. The primary objective is to determine the endurance limit of specific nickel-based superalloys intended for use in high-pressure, high-temperature (HPHT) environments typical of the Gulf of Mexico energy sector.</w:t>
      </w:r>
    </w:p>
    <w:p>
      <w:pPr>
        <w:pStyle w:val="BodyText"/>
      </w:pPr>
      <w:r>
        <w:t xml:space="preserve">As Houston serves as a global hub for energy and engineering, this protocol adheres to the rigorous standards expected by local industry stakeholders, regulatory bodies, and academic institutions within the United States. The scope includes specimen preparation, environmental chamber setup, cyclic loading application, data acquisition, and post-test failure analysis.</w:t>
      </w:r>
    </w:p>
    <w:p>
      <w:pPr>
        <w:pStyle w:val="BodyText"/>
      </w:pPr>
      <w:r>
        <w:t xml:space="preserve">2.0 Regulatory Compliance and Safety Standards</w:t>
      </w:r>
    </w:p>
    <w:p>
      <w:pPr>
        <w:pStyle w:val="BodyText"/>
      </w:pPr>
      <w:r>
        <w:t xml:space="preserve">All activities conducted under this Experiment Protocol must comply with the Occupational Safety and Health Administration (OSHA) regulations applicable in Texas and the United States. Specifically, the Mechanical Engineer must ensure adherence to:</w:t>
      </w:r>
    </w:p>
    <w:p>
      <w:pPr>
        <w:numPr>
          <w:ilvl w:val="0"/>
          <w:numId w:val="1001"/>
        </w:numPr>
        <w:pStyle w:val="Compact"/>
      </w:pPr>
      <w:r>
        <w:t xml:space="preserve">OSHA 29 CFR 1910.147: The Control of Hazardous Energy (Lockout/Tagout).</w:t>
      </w:r>
    </w:p>
    <w:p>
      <w:pPr>
        <w:numPr>
          <w:ilvl w:val="0"/>
          <w:numId w:val="1001"/>
        </w:numPr>
        <w:pStyle w:val="Compact"/>
      </w:pPr>
      <w:r>
        <w:t xml:space="preserve">ASTM E466: Standard Practice for Force-Controlled Constant Amplitude Axial Fatigue Testing of Metallic Materials.</w:t>
      </w:r>
    </w:p>
    <w:p>
      <w:pPr>
        <w:numPr>
          <w:ilvl w:val="0"/>
          <w:numId w:val="1001"/>
        </w:numPr>
        <w:pStyle w:val="Compact"/>
      </w:pPr>
      <w:r>
        <w:t xml:space="preserve">API 579/ASME FFS-1: Fitness-for-Service standards relevant to Houston-based energy operations.</w:t>
      </w:r>
    </w:p>
    <w:p>
      <w:pPr>
        <w:pStyle w:val="FirstParagraph"/>
      </w:pPr>
      <w:r>
        <w:t xml:space="preserve">Personal Protective Equipment (PPE) including safety glasses, steel-toed boots, and heat-resistant gloves is mandatory within the testing facility.</w:t>
      </w:r>
    </w:p>
    <w:p>
      <w:pPr>
        <w:pStyle w:val="BodyText"/>
      </w:pPr>
      <w:r>
        <w:t xml:space="preserve">3.0 Equipment and Materials</w:t>
      </w:r>
    </w:p>
    <w:p>
      <w:pPr>
        <w:pStyle w:val="BodyText"/>
      </w:pPr>
      <w:r>
        <w:t xml:space="preserve">The following equipment must be calibrated and verified prior to the commencement of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Electrohydraulic Servo Fatigue Tester</w:t>
            </w:r>
          </w:p>
        </w:tc>
        <w:tc>
          <w:tcPr/>
          <w:p>
            <w:pPr>
              <w:pStyle w:val="Compact"/>
              <w:jc w:val="left"/>
            </w:pPr>
            <w:r>
              <w:t xml:space="preserve">Capacity: 100 kN, Frequency: 0.1-100 Hz</w:t>
            </w:r>
          </w:p>
        </w:tc>
        <w:tc>
          <w:tcPr/>
          <w:p>
            <w:pPr>
              <w:pStyle w:val="Compact"/>
              <w:jc w:val="left"/>
            </w:pPr>
            <w:r>
              <w:t xml:space="preserve">1</w:t>
            </w:r>
          </w:p>
        </w:tc>
      </w:tr>
      <w:tr>
        <w:tc>
          <w:tcPr/>
          <w:p>
            <w:pPr>
              <w:pStyle w:val="Compact"/>
              <w:jc w:val="left"/>
            </w:pPr>
            <w:r>
              <w:t xml:space="preserve">Environmental Chamber</w:t>
            </w:r>
          </w:p>
        </w:tc>
        <w:tc>
          <w:tcPr/>
          <w:p>
            <w:pPr>
              <w:pStyle w:val="Compact"/>
              <w:jc w:val="left"/>
            </w:pPr>
            <w:r>
              <w:t xml:space="preserve">Temp Range: Ambient to 600°C, Humidity Control</w:t>
            </w:r>
          </w:p>
        </w:tc>
        <w:tc>
          <w:tcPr/>
          <w:p>
            <w:pPr>
              <w:pStyle w:val="Compact"/>
              <w:jc w:val="left"/>
            </w:pPr>
            <w:r>
              <w:t xml:space="preserve">1</w:t>
            </w:r>
          </w:p>
        </w:tc>
      </w:tr>
      <w:tr>
        <w:tc>
          <w:tcPr/>
          <w:p>
            <w:pPr>
              <w:pStyle w:val="Compact"/>
              <w:jc w:val="left"/>
            </w:pPr>
            <w:r>
              <w:t xml:space="preserve">Strain Gauges</w:t>
            </w:r>
          </w:p>
        </w:tc>
        <w:tc>
          <w:tcPr/>
          <w:p>
            <w:pPr>
              <w:pStyle w:val="Compact"/>
              <w:jc w:val="left"/>
            </w:pPr>
            <w:r>
              <w:t xml:space="preserve">High-Temperature Foil Type, 120 Ohm</w:t>
            </w:r>
          </w:p>
        </w:tc>
        <w:tc>
          <w:tcPr/>
          <w:p>
            <w:pPr>
              <w:pStyle w:val="Compact"/>
              <w:jc w:val="left"/>
            </w:pPr>
            <w:r>
              <w:t xml:space="preserve">10</w:t>
            </w:r>
          </w:p>
        </w:tc>
      </w:tr>
      <w:tr>
        <w:tc>
          <w:tcPr/>
          <w:p>
            <w:pPr>
              <w:pStyle w:val="Compact"/>
              <w:jc w:val="left"/>
            </w:pPr>
            <w:r>
              <w:t xml:space="preserve">Test Specimens</w:t>
            </w:r>
          </w:p>
        </w:tc>
        <w:tc>
          <w:tcPr/>
          <w:p>
            <w:pPr>
              <w:pStyle w:val="Compact"/>
              <w:jc w:val="left"/>
            </w:pPr>
            <w:r>
              <w:t xml:space="preserve">Alloy 718, Dog-bone geometry per ASTM E8</w:t>
            </w:r>
          </w:p>
        </w:tc>
        <w:tc>
          <w:tcPr/>
          <w:p>
            <w:pPr>
              <w:pStyle w:val="Compact"/>
              <w:jc w:val="left"/>
            </w:pPr>
            <w:r>
              <w:t xml:space="preserve">15</w:t>
            </w:r>
          </w:p>
        </w:tc>
      </w:tr>
      <w:tr>
        <w:tc>
          <w:tcPr/>
          <w:p>
            <w:pPr>
              <w:pStyle w:val="Compact"/>
              <w:jc w:val="left"/>
            </w:pPr>
            <w:r>
              <w:t xml:space="preserve">Data Acquisition System</w:t>
            </w:r>
          </w:p>
        </w:tc>
        <w:tc>
          <w:tcPr/>
          <w:p>
            <w:pPr>
              <w:pStyle w:val="Compact"/>
              <w:jc w:val="left"/>
            </w:pPr>
            <w:r>
              <w:t xml:space="preserve">Sampling Rate: 10 kHz minimum</w:t>
            </w:r>
          </w:p>
        </w:tc>
        <w:tc>
          <w:tcPr/>
          <w:p>
            <w:pPr>
              <w:pStyle w:val="Compact"/>
              <w:jc w:val="left"/>
            </w:pPr>
            <w:r>
              <w:t xml:space="preserve">1</w:t>
            </w:r>
          </w:p>
        </w:tc>
      </w:tr>
    </w:tbl>
    <w:p>
      <w:pPr>
        <w:pStyle w:val="BodyText"/>
      </w:pPr>
      <w:r>
        <w:t xml:space="preserve">4.0 Experimental Procedure</w:t>
      </w:r>
    </w:p>
    <w:p>
      <w:pPr>
        <w:pStyle w:val="BodyText"/>
      </w:pPr>
      <w:r>
        <w:t xml:space="preserve">The Mechanical Engineer shall execute the following steps in strict chronological order:</w:t>
      </w:r>
    </w:p>
    <w:p>
      <w:pPr>
        <w:numPr>
          <w:ilvl w:val="0"/>
          <w:numId w:val="1002"/>
        </w:numPr>
        <w:pStyle w:val="Compact"/>
      </w:pPr>
      <w:r>
        <w:rPr>
          <w:bCs/>
          <w:b/>
        </w:rPr>
        <w:t xml:space="preserve">Specimen Preparation:</w:t>
      </w:r>
      <w:r>
        <w:t xml:space="preserve"> </w:t>
      </w:r>
      <w:r>
        <w:t xml:space="preserve">Clean all test specimens using acetone to remove machining oils. Measure the gauge length and diameter of each specimen using a micrometer with 0.001 mm precision. Record these dimensions in the lab notebook.</w:t>
      </w:r>
    </w:p>
    <w:p>
      <w:pPr>
        <w:numPr>
          <w:ilvl w:val="0"/>
          <w:numId w:val="1002"/>
        </w:numPr>
        <w:pStyle w:val="Compact"/>
      </w:pPr>
      <w:r>
        <w:rPr>
          <w:bCs/>
          <w:b/>
        </w:rPr>
        <w:t xml:space="preserve">Mounting:</w:t>
      </w:r>
      <w:r>
        <w:t xml:space="preserve"> </w:t>
      </w:r>
      <w:r>
        <w:t xml:space="preserve">Install the specimen into the fatigue tester grips. Ensure alignment is perfect to prevent bending moments. Apply strain gauges to the gauge section using high-temperature epoxy.</w:t>
      </w:r>
    </w:p>
    <w:p>
      <w:pPr>
        <w:numPr>
          <w:ilvl w:val="0"/>
          <w:numId w:val="1002"/>
        </w:numPr>
        <w:pStyle w:val="Compact"/>
      </w:pPr>
      <w:r>
        <w:rPr>
          <w:bCs/>
          <w:b/>
        </w:rPr>
        <w:t xml:space="preserve">Environmental Setup:</w:t>
      </w:r>
      <w:r>
        <w:t xml:space="preserve"> </w:t>
      </w:r>
      <w:r>
        <w:t xml:space="preserve">Close the environmental chamber. Set the target temperature to 450°C to simulate downhole conditions. Allow the system to stabilize for 30 minutes.</w:t>
      </w:r>
    </w:p>
    <w:p>
      <w:pPr>
        <w:numPr>
          <w:ilvl w:val="0"/>
          <w:numId w:val="1002"/>
        </w:numPr>
        <w:pStyle w:val="Compact"/>
      </w:pPr>
      <w:r>
        <w:rPr>
          <w:bCs/>
          <w:b/>
        </w:rPr>
        <w:t xml:space="preserve">Loading Parameters:</w:t>
      </w:r>
      <w:r>
        <w:t xml:space="preserve"> </w:t>
      </w:r>
      <w:r>
        <w:t xml:space="preserve">Configure the servo-hydraulic system for a sinusoidal load waveform. Set the stress ratio (R) to 0.1 and the maximum stress to 80% of the material's yield strength.</w:t>
      </w:r>
    </w:p>
    <w:p>
      <w:pPr>
        <w:numPr>
          <w:ilvl w:val="0"/>
          <w:numId w:val="1002"/>
        </w:numPr>
        <w:pStyle w:val="Compact"/>
      </w:pPr>
      <w:r>
        <w:rPr>
          <w:bCs/>
          <w:b/>
        </w:rPr>
        <w:t xml:space="preserve">Execution:</w:t>
      </w:r>
      <w:r>
        <w:t xml:space="preserve"> </w:t>
      </w:r>
      <w:r>
        <w:t xml:space="preserve">Initiate the test. Monitor the system continuously for the first 10,000 cycles. Check for slippage, unusual noise, or data anomalies.</w:t>
      </w:r>
    </w:p>
    <w:p>
      <w:pPr>
        <w:numPr>
          <w:ilvl w:val="0"/>
          <w:numId w:val="1002"/>
        </w:numPr>
        <w:pStyle w:val="Compact"/>
      </w:pPr>
      <w:r>
        <w:rPr>
          <w:bCs/>
          <w:b/>
        </w:rPr>
        <w:t xml:space="preserve">Termination:</w:t>
      </w:r>
      <w:r>
        <w:t xml:space="preserve"> </w:t>
      </w:r>
      <w:r>
        <w:t xml:space="preserve">The test concludes when the specimen fractures or reaches 10 million cycles without failure.</w:t>
      </w:r>
    </w:p>
    <w:p>
      <w:pPr>
        <w:pStyle w:val="FirstParagraph"/>
      </w:pPr>
      <w:r>
        <w:t xml:space="preserve">5.0 Data Collection and Analysis</w:t>
      </w:r>
    </w:p>
    <w:p>
      <w:pPr>
        <w:pStyle w:val="BodyText"/>
      </w:pPr>
      <w:r>
        <w:t xml:space="preserve">Data integrity is paramount. The Mechanical Engineer must record the following parameters:</w:t>
      </w:r>
    </w:p>
    <w:p>
      <w:pPr>
        <w:numPr>
          <w:ilvl w:val="0"/>
          <w:numId w:val="1003"/>
        </w:numPr>
        <w:pStyle w:val="Compact"/>
      </w:pPr>
      <w:r>
        <w:t xml:space="preserve">Number of cycles to failure (Nf).</w:t>
      </w:r>
    </w:p>
    <w:p>
      <w:pPr>
        <w:numPr>
          <w:ilvl w:val="0"/>
          <w:numId w:val="1003"/>
        </w:numPr>
        <w:pStyle w:val="Compact"/>
      </w:pPr>
      <w:r>
        <w:t xml:space="preserve">Stress amplitude vs. cycles (S-N curve data).</w:t>
      </w:r>
    </w:p>
    <w:p>
      <w:pPr>
        <w:numPr>
          <w:ilvl w:val="0"/>
          <w:numId w:val="1003"/>
        </w:numPr>
        <w:pStyle w:val="Compact"/>
      </w:pPr>
      <w:r>
        <w:t xml:space="preserve">Temperature fluctuations within the chamber.</w:t>
      </w:r>
    </w:p>
    <w:p>
      <w:pPr>
        <w:numPr>
          <w:ilvl w:val="0"/>
          <w:numId w:val="1003"/>
        </w:numPr>
        <w:pStyle w:val="Compact"/>
      </w:pPr>
      <w:r>
        <w:t xml:space="preserve">Strain hysteresis loops.</w:t>
      </w:r>
    </w:p>
    <w:p>
      <w:pPr>
        <w:pStyle w:val="FirstParagraph"/>
      </w:pPr>
      <w:r>
        <w:t xml:space="preserve">Post-test analysis involves fractographic examination using a Scanning Electron Microscope (SEM) available at the Houston facility. The goal is to identify crack initiation sites and propagation modes, correlating them with the environmental conditions.</w:t>
      </w:r>
    </w:p>
    <w:p>
      <w:pPr>
        <w:pStyle w:val="BodyText"/>
      </w:pPr>
      <w:r>
        <w:t xml:space="preserve">6.0 Risk Assessment and Mitigation</w:t>
      </w:r>
    </w:p>
    <w:p>
      <w:pPr>
        <w:pStyle w:val="BodyText"/>
      </w:pPr>
      <w:r>
        <w:t xml:space="preserve">Given the high-energy nature of fatigue testing, the following risks are identified:</w:t>
      </w:r>
    </w:p>
    <w:p>
      <w:pPr>
        <w:numPr>
          <w:ilvl w:val="0"/>
          <w:numId w:val="1004"/>
        </w:numPr>
        <w:pStyle w:val="Compact"/>
      </w:pPr>
      <w:r>
        <w:rPr>
          <w:bCs/>
          <w:b/>
        </w:rPr>
        <w:t xml:space="preserve">Specimen Ejection:</w:t>
      </w:r>
      <w:r>
        <w:t xml:space="preserve"> </w:t>
      </w:r>
      <w:r>
        <w:t xml:space="preserve">Mitigated by using safety shields and remote operation capabilities.</w:t>
      </w:r>
    </w:p>
    <w:p>
      <w:pPr>
        <w:numPr>
          <w:ilvl w:val="0"/>
          <w:numId w:val="1004"/>
        </w:numPr>
        <w:pStyle w:val="Compact"/>
      </w:pPr>
      <w:r>
        <w:rPr>
          <w:bCs/>
          <w:b/>
        </w:rPr>
        <w:t xml:space="preserve">High Temperature Burns:</w:t>
      </w:r>
      <w:r>
        <w:t xml:space="preserve"> </w:t>
      </w:r>
      <w:r>
        <w:t xml:space="preserve">Mitigated by allowing adequate cool-down time and using thermal imaging cameras to verify surface temperatures before opening the chamber.</w:t>
      </w:r>
    </w:p>
    <w:p>
      <w:pPr>
        <w:numPr>
          <w:ilvl w:val="0"/>
          <w:numId w:val="1004"/>
        </w:numPr>
        <w:pStyle w:val="Compact"/>
      </w:pPr>
      <w:r>
        <w:rPr>
          <w:bCs/>
          <w:b/>
        </w:rPr>
        <w:t xml:space="preserve">Hydraulic Fluid Leaks:</w:t>
      </w:r>
      <w:r>
        <w:t xml:space="preserve"> </w:t>
      </w:r>
      <w:r>
        <w:t xml:space="preserve">Mitigated by regular inspection of hoses and fittings in accordance with facility maintenance schedules.</w:t>
      </w:r>
    </w:p>
    <w:p>
      <w:pPr>
        <w:pStyle w:val="FirstParagraph"/>
      </w:pPr>
      <w:r>
        <w:t xml:space="preserve">7.0 Reporting and Documentation</w:t>
      </w:r>
    </w:p>
    <w:p>
      <w:pPr>
        <w:pStyle w:val="BodyText"/>
      </w:pPr>
      <w:r>
        <w:t xml:space="preserve">Upon completion of the experiment, the Mechanical Engineer must compile a comprehensive report. This document will be archived in the central repository of the Houston engineering division. The report must include raw data files, calibration certificates, photographs of the failed specimens, and a conclusion regarding the material's suitability for the intended application in the United States energy market.</w:t>
      </w:r>
    </w:p>
    <w:p>
      <w:pPr>
        <w:pStyle w:val="BodyText"/>
      </w:pPr>
      <w:r>
        <w:rPr>
          <w:bCs/>
          <w:b/>
        </w:rPr>
        <w:t xml:space="preserve">Approval Signatures:</w:t>
      </w:r>
    </w:p>
    <w:p>
      <w:pPr>
        <w:pStyle w:val="BodyText"/>
      </w:pPr>
      <w:r>
        <w:t xml:space="preserve">Lead Mechanical Engineer</w:t>
      </w:r>
    </w:p>
    <w:p>
      <w:pPr>
        <w:pStyle w:val="BodyText"/>
      </w:pPr>
      <w:r>
        <w:t xml:space="preserve">Project Manager</w:t>
      </w:r>
    </w:p>
    <w:p>
      <w:pPr>
        <w:pStyle w:val="BodyText"/>
      </w:pPr>
      <w:r>
        <w:t xml:space="preserve">Safety Officer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United States Houston</dc:title>
  <dc:creator/>
  <dc:language>en</dc:language>
  <cp:keywords/>
  <dcterms:created xsi:type="dcterms:W3CDTF">2026-10-10T06:25:39Z</dcterms:created>
  <dcterms:modified xsi:type="dcterms:W3CDTF">2026-10-10T06:25:39Z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