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0" w:name="experiment-protocol"/>
    <w:p>
      <w:pPr>
        <w:pStyle w:val="Heading1"/>
      </w:pPr>
      <w:r>
        <w:t xml:space="preserve">Experiment Protocol</w:t>
      </w:r>
    </w:p>
    <w:p>
      <w:pPr>
        <w:pStyle w:val="FirstParagraph"/>
      </w:pPr>
      <w:r>
        <w:rPr>
          <w:bCs/>
          <w:b/>
        </w:rPr>
        <w:t xml:space="preserve">Role:</w:t>
      </w:r>
      <w:r>
        <w:t xml:space="preserve"> </w:t>
      </w:r>
      <w:r>
        <w:t xml:space="preserve">Mechatronics Engineer</w:t>
      </w:r>
    </w:p>
    <w:p>
      <w:pPr>
        <w:pStyle w:val="BodyText"/>
      </w:pPr>
      <w:r>
        <w:rPr>
          <w:bCs/>
          <w:b/>
        </w:rPr>
        <w:t xml:space="preserve">Location:</w:t>
      </w:r>
      <w:r>
        <w:t xml:space="preserve"> </w:t>
      </w:r>
      <w:r>
        <w:t xml:space="preserve">Brisbane, Australia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experiments related to mechatronics systems in Brisbane, Australia. The protocol is designed to ensure that all experiments are conducted safely, efficiently, and in compliance with local regulations and industry standards.</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establish a standardized approach for conducting mechatronics experiments.</w:t>
      </w:r>
    </w:p>
    <w:p>
      <w:pPr>
        <w:numPr>
          <w:ilvl w:val="0"/>
          <w:numId w:val="1001"/>
        </w:numPr>
        <w:pStyle w:val="Compact"/>
      </w:pPr>
      <w:r>
        <w:t xml:space="preserve">To ensure the safety of personnel and equipment.</w:t>
      </w:r>
    </w:p>
    <w:p>
      <w:pPr>
        <w:numPr>
          <w:ilvl w:val="0"/>
          <w:numId w:val="1001"/>
        </w:numPr>
        <w:pStyle w:val="Compact"/>
      </w:pPr>
      <w:r>
        <w:t xml:space="preserve">To comply with Australian Standards and Queensland-specific regulations.</w:t>
      </w:r>
    </w:p>
    <w:p>
      <w:pPr>
        <w:numPr>
          <w:ilvl w:val="0"/>
          <w:numId w:val="1001"/>
        </w:numPr>
        <w:pStyle w:val="Compact"/>
      </w:pPr>
      <w:r>
        <w:t xml:space="preserve">To facilitate accurate data collection and analysis.</w:t>
      </w:r>
    </w:p>
    <w:bookmarkEnd w:id="22"/>
    <w:bookmarkStart w:id="23" w:name="scope"/>
    <w:p>
      <w:pPr>
        <w:pStyle w:val="Heading2"/>
      </w:pPr>
      <w:r>
        <w:t xml:space="preserve">3. Scope</w:t>
      </w:r>
    </w:p>
    <w:p>
      <w:pPr>
        <w:pStyle w:val="FirstParagraph"/>
      </w:pPr>
      <w:r>
        <w:t xml:space="preserve">This protocol applies to all mechatronics engineers and technicians working in Brisbane, Australia, who are involved in the design, testing, and evaluation of mechatronic systems. It covers experiments involving mechanical, electrical, and software components.</w:t>
      </w:r>
    </w:p>
    <w:bookmarkEnd w:id="23"/>
    <w:bookmarkStart w:id="24" w:name="safety-requirements"/>
    <w:p>
      <w:pPr>
        <w:pStyle w:val="Heading2"/>
      </w:pPr>
      <w:r>
        <w:t xml:space="preserve">4. Safety Requirements</w:t>
      </w:r>
    </w:p>
    <w:p>
      <w:pPr>
        <w:pStyle w:val="FirstParagraph"/>
      </w:pPr>
      <w:r>
        <w:t xml:space="preserve">Safety is paramount in all mechatronics experiments. The following safety measures must be adhered to:</w:t>
      </w:r>
    </w:p>
    <w:p>
      <w:pPr>
        <w:numPr>
          <w:ilvl w:val="0"/>
          <w:numId w:val="1002"/>
        </w:numPr>
        <w:pStyle w:val="Compact"/>
      </w:pPr>
      <w:r>
        <w:rPr>
          <w:bCs/>
          <w:b/>
        </w:rPr>
        <w:t xml:space="preserve">Personal Protective Equipment (PPE):</w:t>
      </w:r>
      <w:r>
        <w:t xml:space="preserve"> </w:t>
      </w:r>
      <w:r>
        <w:t xml:space="preserve">All personnel must wear appropriate PPE, including safety glasses, gloves, and steel-toed boots.</w:t>
      </w:r>
    </w:p>
    <w:p>
      <w:pPr>
        <w:numPr>
          <w:ilvl w:val="0"/>
          <w:numId w:val="1002"/>
        </w:numPr>
        <w:pStyle w:val="Compact"/>
      </w:pPr>
      <w:r>
        <w:rPr>
          <w:bCs/>
          <w:b/>
        </w:rPr>
        <w:t xml:space="preserve">Electrical Safety:</w:t>
      </w:r>
      <w:r>
        <w:t xml:space="preserve"> </w:t>
      </w:r>
      <w:r>
        <w:t xml:space="preserve">Ensure all electrical systems are properly grounded and insulated. Follow AS/NZS 3000 standards for electrical installations.</w:t>
      </w:r>
    </w:p>
    <w:p>
      <w:pPr>
        <w:numPr>
          <w:ilvl w:val="0"/>
          <w:numId w:val="1002"/>
        </w:numPr>
        <w:pStyle w:val="Compact"/>
      </w:pPr>
      <w:r>
        <w:rPr>
          <w:bCs/>
          <w:b/>
        </w:rPr>
        <w:t xml:space="preserve">Mechanical Safety:</w:t>
      </w:r>
      <w:r>
        <w:t xml:space="preserve"> </w:t>
      </w:r>
      <w:r>
        <w:t xml:space="preserve">Use safety guards and barriers around moving parts. Ensure all machinery is properly maintained and inspected before use.</w:t>
      </w:r>
    </w:p>
    <w:p>
      <w:pPr>
        <w:numPr>
          <w:ilvl w:val="0"/>
          <w:numId w:val="1002"/>
        </w:numPr>
        <w:pStyle w:val="Compact"/>
      </w:pPr>
      <w:r>
        <w:rPr>
          <w:bCs/>
          <w:b/>
        </w:rPr>
        <w:t xml:space="preserve">Emergency Procedures:</w:t>
      </w:r>
      <w:r>
        <w:t xml:space="preserve"> </w:t>
      </w:r>
      <w:r>
        <w:t xml:space="preserve">Familiarize all personnel with emergency shutdown procedures and first aid protocols.</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experiments:</w:t>
      </w:r>
    </w:p>
    <w:p>
      <w:pPr>
        <w:numPr>
          <w:ilvl w:val="0"/>
          <w:numId w:val="1003"/>
        </w:numPr>
        <w:pStyle w:val="Compact"/>
      </w:pPr>
      <w:r>
        <w:t xml:space="preserve">Mechanical components (gears, motors, actuators)</w:t>
      </w:r>
    </w:p>
    <w:p>
      <w:pPr>
        <w:numPr>
          <w:ilvl w:val="0"/>
          <w:numId w:val="1003"/>
        </w:numPr>
        <w:pStyle w:val="Compact"/>
      </w:pPr>
      <w:r>
        <w:t xml:space="preserve">Electrical components (sensors, controllers, power supplies)</w:t>
      </w:r>
    </w:p>
    <w:p>
      <w:pPr>
        <w:numPr>
          <w:ilvl w:val="0"/>
          <w:numId w:val="1003"/>
        </w:numPr>
        <w:pStyle w:val="Compact"/>
      </w:pPr>
      <w:r>
        <w:t xml:space="preserve">Software tools (MATLAB, Simulink, PLC programming software)</w:t>
      </w:r>
    </w:p>
    <w:p>
      <w:pPr>
        <w:numPr>
          <w:ilvl w:val="0"/>
          <w:numId w:val="1003"/>
        </w:numPr>
        <w:pStyle w:val="Compact"/>
      </w:pPr>
      <w:r>
        <w:t xml:space="preserve">Measurement instruments (oscilloscopes, multimeters, data loggers)</w:t>
      </w:r>
    </w:p>
    <w:bookmarkEnd w:id="25"/>
    <w:bookmarkStart w:id="26" w:name="experimental-procedures"/>
    <w:p>
      <w:pPr>
        <w:pStyle w:val="Heading2"/>
      </w:pPr>
      <w:r>
        <w:t xml:space="preserve">6. Experimental Procedures</w:t>
      </w:r>
    </w:p>
    <w:p>
      <w:pPr>
        <w:pStyle w:val="FirstParagraph"/>
      </w:pPr>
      <w:r>
        <w:t xml:space="preserve">The following steps outline the general procedure for conducting mechatronics experiments:</w:t>
      </w:r>
    </w:p>
    <w:p>
      <w:pPr>
        <w:numPr>
          <w:ilvl w:val="0"/>
          <w:numId w:val="1004"/>
        </w:numPr>
        <w:pStyle w:val="Compact"/>
      </w:pPr>
      <w:r>
        <w:rPr>
          <w:bCs/>
          <w:b/>
        </w:rPr>
        <w:t xml:space="preserve">Preparation:</w:t>
      </w:r>
      <w:r>
        <w:t xml:space="preserve"> </w:t>
      </w:r>
      <w:r>
        <w:t xml:space="preserve">Review the experiment plan and ensure all necessary equipment and materials are available.</w:t>
      </w:r>
    </w:p>
    <w:p>
      <w:pPr>
        <w:numPr>
          <w:ilvl w:val="0"/>
          <w:numId w:val="1004"/>
        </w:numPr>
        <w:pStyle w:val="Compact"/>
      </w:pPr>
      <w:r>
        <w:rPr>
          <w:bCs/>
          <w:b/>
        </w:rPr>
        <w:t xml:space="preserve">Setup:</w:t>
      </w:r>
      <w:r>
        <w:t xml:space="preserve"> </w:t>
      </w:r>
      <w:r>
        <w:t xml:space="preserve">Assemble the mechatronic system according to the design specifications. Ensure all connections are secure and properly labeled.</w:t>
      </w:r>
    </w:p>
    <w:p>
      <w:pPr>
        <w:numPr>
          <w:ilvl w:val="0"/>
          <w:numId w:val="1004"/>
        </w:numPr>
        <w:pStyle w:val="Compact"/>
      </w:pPr>
      <w:r>
        <w:rPr>
          <w:bCs/>
          <w:b/>
        </w:rPr>
        <w:t xml:space="preserve">Calibration:</w:t>
      </w:r>
      <w:r>
        <w:t xml:space="preserve"> </w:t>
      </w:r>
      <w:r>
        <w:t xml:space="preserve">Calibrate all sensors and measurement instruments to ensure accurate data collection.</w:t>
      </w:r>
    </w:p>
    <w:p>
      <w:pPr>
        <w:numPr>
          <w:ilvl w:val="0"/>
          <w:numId w:val="1004"/>
        </w:numPr>
        <w:pStyle w:val="Compact"/>
      </w:pPr>
      <w:r>
        <w:rPr>
          <w:bCs/>
          <w:b/>
        </w:rPr>
        <w:t xml:space="preserve">Execution:</w:t>
      </w:r>
      <w:r>
        <w:t xml:space="preserve"> </w:t>
      </w:r>
      <w:r>
        <w:t xml:space="preserve">Conduct the experiment according to the predefined parameters. Monitor the system closely for any anomalies.</w:t>
      </w:r>
    </w:p>
    <w:p>
      <w:pPr>
        <w:numPr>
          <w:ilvl w:val="0"/>
          <w:numId w:val="1004"/>
        </w:numPr>
        <w:pStyle w:val="Compact"/>
      </w:pPr>
      <w:r>
        <w:rPr>
          <w:bCs/>
          <w:b/>
        </w:rPr>
        <w:t xml:space="preserve">Data Collection:</w:t>
      </w:r>
      <w:r>
        <w:t xml:space="preserve"> </w:t>
      </w:r>
      <w:r>
        <w:t xml:space="preserve">Record all relevant data using appropriate instruments and software.</w:t>
      </w:r>
    </w:p>
    <w:p>
      <w:pPr>
        <w:numPr>
          <w:ilvl w:val="0"/>
          <w:numId w:val="1004"/>
        </w:numPr>
        <w:pStyle w:val="Compact"/>
      </w:pPr>
      <w:r>
        <w:rPr>
          <w:bCs/>
          <w:b/>
        </w:rPr>
        <w:t xml:space="preserve">Analysis:</w:t>
      </w:r>
      <w:r>
        <w:t xml:space="preserve"> </w:t>
      </w:r>
      <w:r>
        <w:t xml:space="preserve">Analyze the collected data to evaluate the performance of the mechatronic system.</w:t>
      </w:r>
    </w:p>
    <w:p>
      <w:pPr>
        <w:numPr>
          <w:ilvl w:val="0"/>
          <w:numId w:val="1004"/>
        </w:numPr>
        <w:pStyle w:val="Compact"/>
      </w:pPr>
      <w:r>
        <w:rPr>
          <w:bCs/>
          <w:b/>
        </w:rPr>
        <w:t xml:space="preserve">Documentation:</w:t>
      </w:r>
      <w:r>
        <w:t xml:space="preserve"> </w:t>
      </w:r>
      <w:r>
        <w:t xml:space="preserve">Document the results, observations, and any deviations from the planned procedure.</w:t>
      </w:r>
    </w:p>
    <w:bookmarkEnd w:id="26"/>
    <w:bookmarkStart w:id="27" w:name="data-management"/>
    <w:p>
      <w:pPr>
        <w:pStyle w:val="Heading2"/>
      </w:pPr>
      <w:r>
        <w:t xml:space="preserve">7. Data Management</w:t>
      </w:r>
    </w:p>
    <w:p>
      <w:pPr>
        <w:pStyle w:val="FirstParagraph"/>
      </w:pPr>
      <w:r>
        <w:t xml:space="preserve">Proper data management is crucial for the integrity of the experiments. The following guidelines must be followed:</w:t>
      </w:r>
    </w:p>
    <w:p>
      <w:pPr>
        <w:numPr>
          <w:ilvl w:val="0"/>
          <w:numId w:val="1005"/>
        </w:numPr>
        <w:pStyle w:val="Compact"/>
      </w:pPr>
      <w:r>
        <w:t xml:space="preserve">Store all data in a secure, centralized database.</w:t>
      </w:r>
    </w:p>
    <w:p>
      <w:pPr>
        <w:numPr>
          <w:ilvl w:val="0"/>
          <w:numId w:val="1005"/>
        </w:numPr>
        <w:pStyle w:val="Compact"/>
      </w:pPr>
      <w:r>
        <w:t xml:space="preserve">Use standardized formats for data files to ensure compatibility and ease of analysis.</w:t>
      </w:r>
    </w:p>
    <w:p>
      <w:pPr>
        <w:numPr>
          <w:ilvl w:val="0"/>
          <w:numId w:val="1005"/>
        </w:numPr>
        <w:pStyle w:val="Compact"/>
      </w:pPr>
      <w:r>
        <w:t xml:space="preserve">Implement regular backups to prevent data loss.</w:t>
      </w:r>
    </w:p>
    <w:p>
      <w:pPr>
        <w:numPr>
          <w:ilvl w:val="0"/>
          <w:numId w:val="1005"/>
        </w:numPr>
        <w:pStyle w:val="Compact"/>
      </w:pPr>
      <w:r>
        <w:t xml:space="preserve">Maintain detailed logs of all data collection and analysis activities.</w:t>
      </w:r>
    </w:p>
    <w:bookmarkEnd w:id="27"/>
    <w:bookmarkStart w:id="28" w:name="compliance-and-standards"/>
    <w:p>
      <w:pPr>
        <w:pStyle w:val="Heading2"/>
      </w:pPr>
      <w:r>
        <w:t xml:space="preserve">8. Compliance and Standards</w:t>
      </w:r>
    </w:p>
    <w:p>
      <w:pPr>
        <w:pStyle w:val="FirstParagraph"/>
      </w:pPr>
      <w:r>
        <w:t xml:space="preserve">All experiments must comply with the following standards and regulations:</w:t>
      </w:r>
    </w:p>
    <w:p>
      <w:pPr>
        <w:numPr>
          <w:ilvl w:val="0"/>
          <w:numId w:val="1006"/>
        </w:numPr>
        <w:pStyle w:val="Compact"/>
      </w:pPr>
      <w:r>
        <w:rPr>
          <w:bCs/>
          <w:b/>
        </w:rPr>
        <w:t xml:space="preserve">Australian Standards:</w:t>
      </w:r>
      <w:r>
        <w:t xml:space="preserve"> </w:t>
      </w:r>
      <w:r>
        <w:t xml:space="preserve">AS/NZS 3000 (Electrical Installations), AS/NZS 4360 (Risk Management)</w:t>
      </w:r>
    </w:p>
    <w:p>
      <w:pPr>
        <w:numPr>
          <w:ilvl w:val="0"/>
          <w:numId w:val="1006"/>
        </w:numPr>
        <w:pStyle w:val="Compact"/>
      </w:pPr>
      <w:r>
        <w:rPr>
          <w:bCs/>
          <w:b/>
        </w:rPr>
        <w:t xml:space="preserve">Queensland Regulations:</w:t>
      </w:r>
      <w:r>
        <w:t xml:space="preserve"> </w:t>
      </w:r>
      <w:r>
        <w:t xml:space="preserve">Work Health and Safety Act 2011</w:t>
      </w:r>
    </w:p>
    <w:p>
      <w:pPr>
        <w:numPr>
          <w:ilvl w:val="0"/>
          <w:numId w:val="1006"/>
        </w:numPr>
        <w:pStyle w:val="Compact"/>
      </w:pPr>
      <w:r>
        <w:rPr>
          <w:bCs/>
          <w:b/>
        </w:rPr>
        <w:t xml:space="preserve">Industry Best Practices:</w:t>
      </w:r>
      <w:r>
        <w:t xml:space="preserve"> </w:t>
      </w:r>
      <w:r>
        <w:t xml:space="preserve">ISO 9001 (Quality Management), ISO 14001 (Environmental Management)</w:t>
      </w:r>
    </w:p>
    <w:bookmarkEnd w:id="28"/>
    <w:bookmarkStart w:id="29" w:name="roles-and-responsibilities"/>
    <w:p>
      <w:pPr>
        <w:pStyle w:val="Heading2"/>
      </w:pPr>
      <w:r>
        <w:t xml:space="preserve">9. Roles and Responsibilities</w:t>
      </w:r>
    </w:p>
    <w:p>
      <w:pPr>
        <w:pStyle w:val="FirstParagraph"/>
      </w:pPr>
      <w:r>
        <w:t xml:space="preserve">The following roles and responsibilities are defined for the experiment team:</w:t>
      </w:r>
    </w:p>
    <w:p>
      <w:pPr>
        <w:numPr>
          <w:ilvl w:val="0"/>
          <w:numId w:val="1007"/>
        </w:numPr>
        <w:pStyle w:val="Compact"/>
      </w:pPr>
      <w:r>
        <w:rPr>
          <w:bCs/>
          <w:b/>
        </w:rPr>
        <w:t xml:space="preserve">Lead Engineer:</w:t>
      </w:r>
      <w:r>
        <w:t xml:space="preserve"> </w:t>
      </w:r>
      <w:r>
        <w:t xml:space="preserve">Oversees the entire experiment, ensures compliance with the protocol, and makes final decisions.</w:t>
      </w:r>
    </w:p>
    <w:p>
      <w:pPr>
        <w:numPr>
          <w:ilvl w:val="0"/>
          <w:numId w:val="1007"/>
        </w:numPr>
        <w:pStyle w:val="Compact"/>
      </w:pPr>
      <w:r>
        <w:rPr>
          <w:bCs/>
          <w:b/>
        </w:rPr>
        <w:t xml:space="preserve">Technicians:</w:t>
      </w:r>
      <w:r>
        <w:t xml:space="preserve"> </w:t>
      </w:r>
      <w:r>
        <w:t xml:space="preserve">Assist in setup, execution, and data collection. Ensure all safety measures are followed.</w:t>
      </w:r>
    </w:p>
    <w:p>
      <w:pPr>
        <w:numPr>
          <w:ilvl w:val="0"/>
          <w:numId w:val="1007"/>
        </w:numPr>
        <w:pStyle w:val="Compact"/>
      </w:pPr>
      <w:r>
        <w:rPr>
          <w:bCs/>
          <w:b/>
        </w:rPr>
        <w:t xml:space="preserve">Data Analyst:</w:t>
      </w:r>
      <w:r>
        <w:t xml:space="preserve"> </w:t>
      </w:r>
      <w:r>
        <w:t xml:space="preserve">Responsible for data analysis and reporting.</w:t>
      </w:r>
    </w:p>
    <w:p>
      <w:pPr>
        <w:numPr>
          <w:ilvl w:val="0"/>
          <w:numId w:val="1007"/>
        </w:numPr>
        <w:pStyle w:val="Compact"/>
      </w:pPr>
      <w:r>
        <w:rPr>
          <w:bCs/>
          <w:b/>
        </w:rPr>
        <w:t xml:space="preserve">Safety Officer:</w:t>
      </w:r>
      <w:r>
        <w:t xml:space="preserve"> </w:t>
      </w:r>
      <w:r>
        <w:t xml:space="preserve">Monitors safety compliance and addresses any safety concerns.</w:t>
      </w:r>
    </w:p>
    <w:bookmarkEnd w:id="29"/>
    <w:bookmarkStart w:id="30" w:name="conclusion"/>
    <w:p>
      <w:pPr>
        <w:pStyle w:val="Heading2"/>
      </w:pPr>
      <w:r>
        <w:t xml:space="preserve">10. Conclusion</w:t>
      </w:r>
    </w:p>
    <w:p>
      <w:pPr>
        <w:pStyle w:val="FirstParagraph"/>
      </w:pPr>
      <w:r>
        <w:t xml:space="preserve">This Experiment Protocol provides a comprehensive framework for conducting mechatronics experiments in Brisbane, Australia. By adhering to these guidelines, mechatronics engineers can ensure that their experiments are conducted safely, efficiently, and in compliance with all relevant standards and regulations.</w:t>
      </w:r>
    </w:p>
    <w:bookmarkEnd w:id="30"/>
    <w:p>
      <w:pPr>
        <w:pStyle w:val="BodyText"/>
      </w:pPr>
      <w:r>
        <w:rPr>
          <w:bCs/>
          <w:b/>
        </w:rPr>
        <w:t xml:space="preserve">Note:</w:t>
      </w:r>
      <w:r>
        <w:t xml:space="preserve"> </w:t>
      </w:r>
      <w:r>
        <w:t xml:space="preserve">This protocol should be reviewed and updated regularly to reflect changes in technology, regulations, and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Brisbane, Australia</dc:title>
  <dc:creator/>
  <dc:language>en</dc:language>
  <cp:keywords/>
  <dcterms:created xsi:type="dcterms:W3CDTF">2026-10-10T02:08:46Z</dcterms:created>
  <dcterms:modified xsi:type="dcterms:W3CDTF">2026-10-10T02:08:46Z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