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0873917a8355d9a606ce2489223409782e255a7"/>
    <w:p>
      <w:pPr>
        <w:pStyle w:val="Heading1"/>
      </w:pPr>
      <w:r>
        <w:t xml:space="preserve">Experiment Protocol: Mechatronics Engineer in DR Congo Kinshasa</w:t>
      </w:r>
    </w:p>
    <w:p>
      <w:pPr>
        <w:pStyle w:val="FirstParagraph"/>
      </w:pPr>
      <w:r>
        <w:rPr>
          <w:bCs/>
          <w:b/>
        </w:rPr>
        <w:t xml:space="preserve">Document ID:</w:t>
      </w:r>
      <w:r>
        <w:t xml:space="preserve"> </w:t>
      </w:r>
      <w:r>
        <w:t xml:space="preserve">EP-ME-KIN-2024-001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Kinshasa, Democratic Republic of the Congo</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role and impact of a Mechatronics Engineer operating within the industrial and technological landscape of Kinshasa, DR Congo. The document is designed to guide researchers, engineers, and stakeholders in conducting systematic experiments to assess the effectiveness of mechatronic systems in addressing local challenges such as energy distribution, agricultural automation, and manufacturing efficiency.</w:t>
      </w:r>
    </w:p>
    <w:p>
      <w:pPr>
        <w:pStyle w:val="BodyText"/>
      </w:pPr>
      <w:r>
        <w:t xml:space="preserve">The integration of mechanical, electrical, and software engineering disciplines is critical for advancing technological infrastructure in Kinshasa. This protocol ensures that experiments are conducted with precision, safety, and relevance to the socio-economic context of the region.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performance of mechatronic systems in Kinshasa's industrial environment.</w:t>
      </w:r>
    </w:p>
    <w:p>
      <w:pPr>
        <w:numPr>
          <w:ilvl w:val="0"/>
          <w:numId w:val="1001"/>
        </w:numPr>
        <w:pStyle w:val="Compact"/>
      </w:pPr>
      <w:r>
        <w:t xml:space="preserve">To assess the adaptability of a Mechatronics Engineer to local conditions, including power fluctuations, humidity, and resource constraints.</w:t>
      </w:r>
    </w:p>
    <w:p>
      <w:pPr>
        <w:numPr>
          <w:ilvl w:val="0"/>
          <w:numId w:val="1001"/>
        </w:numPr>
        <w:pStyle w:val="Compact"/>
      </w:pPr>
      <w:r>
        <w:t xml:space="preserve">To identify opportunities for innovation in automation, robotics, and control systems tailored to DR Congo's needs.</w:t>
      </w:r>
    </w:p>
    <w:p>
      <w:pPr>
        <w:numPr>
          <w:ilvl w:val="0"/>
          <w:numId w:val="1001"/>
        </w:numPr>
        <w:pStyle w:val="Compact"/>
      </w:pPr>
      <w:r>
        <w:t xml:space="preserve">To develop recommendations for training and capacity-building programs for local engineers.</w:t>
      </w:r>
    </w:p>
    <w:bookmarkEnd w:id="22"/>
    <w:bookmarkStart w:id="23" w:name="scope"/>
    <w:p>
      <w:pPr>
        <w:pStyle w:val="Heading2"/>
      </w:pPr>
      <w:r>
        <w:t xml:space="preserve">3. Scope</w:t>
      </w:r>
    </w:p>
    <w:p>
      <w:pPr>
        <w:pStyle w:val="FirstParagraph"/>
      </w:pPr>
      <w:r>
        <w:t xml:space="preserve">This protocol applies to experiments conducted in Kinshasa, focusing on:</w:t>
      </w:r>
    </w:p>
    <w:p>
      <w:pPr>
        <w:numPr>
          <w:ilvl w:val="0"/>
          <w:numId w:val="1002"/>
        </w:numPr>
        <w:pStyle w:val="Compact"/>
      </w:pPr>
      <w:r>
        <w:t xml:space="preserve">Industrial automation systems in manufacturing plants.</w:t>
      </w:r>
    </w:p>
    <w:p>
      <w:pPr>
        <w:numPr>
          <w:ilvl w:val="0"/>
          <w:numId w:val="1002"/>
        </w:numPr>
        <w:pStyle w:val="Compact"/>
      </w:pPr>
      <w:r>
        <w:t xml:space="preserve">Renewable energy integration using mechatronic controls.</w:t>
      </w:r>
    </w:p>
    <w:p>
      <w:pPr>
        <w:numPr>
          <w:ilvl w:val="0"/>
          <w:numId w:val="1002"/>
        </w:numPr>
        <w:pStyle w:val="Compact"/>
      </w:pPr>
      <w:r>
        <w:t xml:space="preserve">Agricultural machinery equipped with sensors and automation.</w:t>
      </w:r>
    </w:p>
    <w:p>
      <w:pPr>
        <w:numPr>
          <w:ilvl w:val="0"/>
          <w:numId w:val="1002"/>
        </w:numPr>
        <w:pStyle w:val="Compact"/>
      </w:pPr>
      <w:r>
        <w:t xml:space="preserve">Water management systems utilizing robotic and control technologies.</w:t>
      </w:r>
    </w:p>
    <w:p>
      <w:pPr>
        <w:pStyle w:val="FirstParagraph"/>
      </w:pPr>
      <w:r>
        <w:t xml:space="preserve">The scope excludes experiments unrelated to mechatronics or those conducted outside Kinshasa without prior approval.</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Experiments will be structured into three phases:</w:t>
      </w:r>
    </w:p>
    <w:p>
      <w:pPr>
        <w:numPr>
          <w:ilvl w:val="0"/>
          <w:numId w:val="1003"/>
        </w:numPr>
        <w:pStyle w:val="Compact"/>
      </w:pPr>
      <w:r>
        <w:rPr>
          <w:bCs/>
          <w:b/>
        </w:rPr>
        <w:t xml:space="preserve">Phase 1: System Installation and Calibration</w:t>
      </w:r>
      <w:r>
        <w:t xml:space="preserve"> </w:t>
      </w:r>
      <w:r>
        <w:t xml:space="preserve">– Deployment of mechatronic systems in selected sites across Kinshasa.</w:t>
      </w:r>
    </w:p>
    <w:p>
      <w:pPr>
        <w:numPr>
          <w:ilvl w:val="0"/>
          <w:numId w:val="1003"/>
        </w:numPr>
        <w:pStyle w:val="Compact"/>
      </w:pPr>
      <w:r>
        <w:rPr>
          <w:bCs/>
          <w:b/>
        </w:rPr>
        <w:t xml:space="preserve">Phase 2: Data Collection and Monitoring</w:t>
      </w:r>
      <w:r>
        <w:t xml:space="preserve"> </w:t>
      </w:r>
      <w:r>
        <w:t xml:space="preserve">– Continuous monitoring of system performance, energy consumption, and operational efficiency.</w:t>
      </w:r>
    </w:p>
    <w:p>
      <w:pPr>
        <w:numPr>
          <w:ilvl w:val="0"/>
          <w:numId w:val="1003"/>
        </w:numPr>
        <w:pStyle w:val="Compact"/>
      </w:pPr>
      <w:r>
        <w:rPr>
          <w:bCs/>
          <w:b/>
        </w:rPr>
        <w:t xml:space="preserve">Phase 3: Analysis and Optimization</w:t>
      </w:r>
      <w:r>
        <w:t xml:space="preserve"> </w:t>
      </w:r>
      <w:r>
        <w:t xml:space="preserve">– Evaluation of data to identify improvements and validate the role of the Mechatronics Engineer.</w:t>
      </w:r>
    </w:p>
    <w:bookmarkEnd w:id="24"/>
    <w:bookmarkStart w:id="25" w:name="equipment-and-tools"/>
    <w:p>
      <w:pPr>
        <w:pStyle w:val="Heading3"/>
      </w:pPr>
      <w:r>
        <w:t xml:space="preserve">4.2 Equipment and Tools</w:t>
      </w:r>
    </w:p>
    <w:p>
      <w:pPr>
        <w:pStyle w:val="FirstParagraph"/>
      </w:pPr>
      <w:r>
        <w:t xml:space="preserve">The following equipment will be used:</w:t>
      </w:r>
    </w:p>
    <w:p>
      <w:pPr>
        <w:numPr>
          <w:ilvl w:val="0"/>
          <w:numId w:val="1004"/>
        </w:numPr>
        <w:pStyle w:val="Compact"/>
      </w:pPr>
      <w:r>
        <w:t xml:space="preserve">Programmable Logic Controllers (PLCs)</w:t>
      </w:r>
    </w:p>
    <w:p>
      <w:pPr>
        <w:numPr>
          <w:ilvl w:val="0"/>
          <w:numId w:val="1004"/>
        </w:numPr>
        <w:pStyle w:val="Compact"/>
      </w:pPr>
      <w:r>
        <w:t xml:space="preserve">Sensors (temperature, pressure, motion)</w:t>
      </w:r>
    </w:p>
    <w:p>
      <w:pPr>
        <w:numPr>
          <w:ilvl w:val="0"/>
          <w:numId w:val="1004"/>
        </w:numPr>
        <w:pStyle w:val="Compact"/>
      </w:pPr>
      <w:r>
        <w:t xml:space="preserve">Microcontrollers and embedded systems</w:t>
      </w:r>
    </w:p>
    <w:p>
      <w:pPr>
        <w:numPr>
          <w:ilvl w:val="0"/>
          <w:numId w:val="1004"/>
        </w:numPr>
        <w:pStyle w:val="Compact"/>
      </w:pPr>
      <w:r>
        <w:t xml:space="preserve">Robotic arms and actuators</w:t>
      </w:r>
    </w:p>
    <w:p>
      <w:pPr>
        <w:numPr>
          <w:ilvl w:val="0"/>
          <w:numId w:val="1004"/>
        </w:numPr>
        <w:pStyle w:val="Compact"/>
      </w:pPr>
      <w:r>
        <w:t xml:space="preserve">Data acquisition systems</w:t>
      </w:r>
    </w:p>
    <w:bookmarkEnd w:id="25"/>
    <w:bookmarkStart w:id="26" w:name="roles-and-responsibilities"/>
    <w:p>
      <w:pPr>
        <w:pStyle w:val="Heading3"/>
      </w:pPr>
      <w:r>
        <w:t xml:space="preserve">4.3 Roles and Responsibilities</w:t>
      </w:r>
    </w:p>
    <w:p>
      <w:pPr>
        <w:pStyle w:val="FirstParagraph"/>
      </w:pPr>
      <w:r>
        <w:t xml:space="preserve">The Mechatronics Engineer will be responsible for:</w:t>
      </w:r>
    </w:p>
    <w:p>
      <w:pPr>
        <w:numPr>
          <w:ilvl w:val="0"/>
          <w:numId w:val="1005"/>
        </w:numPr>
        <w:pStyle w:val="Compact"/>
      </w:pPr>
      <w:r>
        <w:t xml:space="preserve">Designing and implementing experimental setups.</w:t>
      </w:r>
    </w:p>
    <w:p>
      <w:pPr>
        <w:numPr>
          <w:ilvl w:val="0"/>
          <w:numId w:val="1005"/>
        </w:numPr>
        <w:pStyle w:val="Compact"/>
      </w:pPr>
      <w:r>
        <w:t xml:space="preserve">Calibrating sensors and control systems.</w:t>
      </w:r>
    </w:p>
    <w:p>
      <w:pPr>
        <w:numPr>
          <w:ilvl w:val="0"/>
          <w:numId w:val="1005"/>
        </w:numPr>
        <w:pStyle w:val="Compact"/>
      </w:pPr>
      <w:r>
        <w:t xml:space="preserve">Analyzing data and generating reports.</w:t>
      </w:r>
    </w:p>
    <w:p>
      <w:pPr>
        <w:numPr>
          <w:ilvl w:val="0"/>
          <w:numId w:val="1005"/>
        </w:numPr>
        <w:pStyle w:val="Compact"/>
      </w:pPr>
      <w:r>
        <w:t xml:space="preserve">Collaborating with local technicians and stakeholders.</w:t>
      </w:r>
    </w:p>
    <w:bookmarkEnd w:id="26"/>
    <w:bookmarkEnd w:id="27"/>
    <w:bookmarkStart w:id="28" w:name="safety-and-compliance"/>
    <w:p>
      <w:pPr>
        <w:pStyle w:val="Heading2"/>
      </w:pPr>
      <w:r>
        <w:t xml:space="preserve">5. Safety and Compliance</w:t>
      </w:r>
    </w:p>
    <w:p>
      <w:pPr>
        <w:pStyle w:val="FirstParagraph"/>
      </w:pPr>
      <w:r>
        <w:t xml:space="preserve">All experiments must adhere to international safety standards and local regulations in DR Congo. Key safety measures include:</w:t>
      </w:r>
    </w:p>
    <w:p>
      <w:pPr>
        <w:numPr>
          <w:ilvl w:val="0"/>
          <w:numId w:val="1006"/>
        </w:numPr>
        <w:pStyle w:val="Compact"/>
      </w:pPr>
      <w:r>
        <w:t xml:space="preserve">Use of personal protective equipment (PPE).</w:t>
      </w:r>
    </w:p>
    <w:p>
      <w:pPr>
        <w:numPr>
          <w:ilvl w:val="0"/>
          <w:numId w:val="1006"/>
        </w:numPr>
        <w:pStyle w:val="Compact"/>
      </w:pPr>
      <w:r>
        <w:t xml:space="preserve">Regular inspection of electrical and mechanical components.</w:t>
      </w:r>
    </w:p>
    <w:p>
      <w:pPr>
        <w:numPr>
          <w:ilvl w:val="0"/>
          <w:numId w:val="1006"/>
        </w:numPr>
        <w:pStyle w:val="Compact"/>
      </w:pPr>
      <w:r>
        <w:t xml:space="preserve">Emergency shutdown procedures for all systems.</w:t>
      </w:r>
    </w:p>
    <w:p>
      <w:pPr>
        <w:numPr>
          <w:ilvl w:val="0"/>
          <w:numId w:val="1006"/>
        </w:numPr>
        <w:pStyle w:val="Compact"/>
      </w:pPr>
      <w:r>
        <w:t xml:space="preserve">Training for all personnel involved in the experiments.</w:t>
      </w:r>
    </w:p>
    <w:p>
      <w:pPr>
        <w:pStyle w:val="FirstParagraph"/>
      </w:pPr>
      <w:r>
        <w:t xml:space="preserve">Compliance with environmental regulations is mandatory to minimize the ecological impact of experiments.</w:t>
      </w:r>
    </w:p>
    <w:bookmarkEnd w:id="28"/>
    <w:bookmarkStart w:id="29" w:name="data-collection-and-analysis"/>
    <w:p>
      <w:pPr>
        <w:pStyle w:val="Heading2"/>
      </w:pPr>
      <w:r>
        <w:t xml:space="preserve">6. Data Collection and Analysis</w:t>
      </w:r>
    </w:p>
    <w:p>
      <w:pPr>
        <w:pStyle w:val="FirstParagraph"/>
      </w:pPr>
      <w:r>
        <w:t xml:space="preserve">Data will be collected using automated logging systems and manual observations. Key metrics include:</w:t>
      </w:r>
    </w:p>
    <w:p>
      <w:pPr>
        <w:numPr>
          <w:ilvl w:val="0"/>
          <w:numId w:val="1007"/>
        </w:numPr>
        <w:pStyle w:val="Compact"/>
      </w:pPr>
      <w:r>
        <w:t xml:space="preserve">System uptime and reliability.</w:t>
      </w:r>
    </w:p>
    <w:p>
      <w:pPr>
        <w:numPr>
          <w:ilvl w:val="0"/>
          <w:numId w:val="1007"/>
        </w:numPr>
        <w:pStyle w:val="Compact"/>
      </w:pPr>
      <w:r>
        <w:t xml:space="preserve">Energy efficiency and consumption patterns.</w:t>
      </w:r>
    </w:p>
    <w:p>
      <w:pPr>
        <w:numPr>
          <w:ilvl w:val="0"/>
          <w:numId w:val="1007"/>
        </w:numPr>
        <w:pStyle w:val="Compact"/>
      </w:pPr>
      <w:r>
        <w:t xml:space="preserve">Response time of control systems.</w:t>
      </w:r>
    </w:p>
    <w:p>
      <w:pPr>
        <w:numPr>
          <w:ilvl w:val="0"/>
          <w:numId w:val="1007"/>
        </w:numPr>
        <w:pStyle w:val="Compact"/>
      </w:pPr>
      <w:r>
        <w:t xml:space="preserve">User feedback from local operators.</w:t>
      </w:r>
    </w:p>
    <w:p>
      <w:pPr>
        <w:pStyle w:val="FirstParagraph"/>
      </w:pPr>
      <w:r>
        <w:t xml:space="preserve">Data analysis will be performed using statistical tools and simulation software to validate experimental outcomes.</w:t>
      </w:r>
    </w:p>
    <w:bookmarkEnd w:id="29"/>
    <w:bookmarkStart w:id="30" w:name="expected-outcomes"/>
    <w:p>
      <w:pPr>
        <w:pStyle w:val="Heading2"/>
      </w:pPr>
      <w:r>
        <w:t xml:space="preserve">7. Expected Outcomes</w:t>
      </w:r>
    </w:p>
    <w:p>
      <w:pPr>
        <w:pStyle w:val="FirstParagraph"/>
      </w:pPr>
      <w:r>
        <w:t xml:space="preserve">The expected outcomes of this experiment protocol are:</w:t>
      </w:r>
    </w:p>
    <w:p>
      <w:pPr>
        <w:numPr>
          <w:ilvl w:val="0"/>
          <w:numId w:val="1008"/>
        </w:numPr>
        <w:pStyle w:val="Compact"/>
      </w:pPr>
      <w:r>
        <w:t xml:space="preserve">Enhanced understanding of mechatronic applications in Kinshasa.</w:t>
      </w:r>
    </w:p>
    <w:p>
      <w:pPr>
        <w:numPr>
          <w:ilvl w:val="0"/>
          <w:numId w:val="1008"/>
        </w:numPr>
        <w:pStyle w:val="Compact"/>
      </w:pPr>
      <w:r>
        <w:t xml:space="preserve">Identification of best practices for deploying automation systems in resource-constrained environments.</w:t>
      </w:r>
    </w:p>
    <w:p>
      <w:pPr>
        <w:numPr>
          <w:ilvl w:val="0"/>
          <w:numId w:val="1008"/>
        </w:numPr>
        <w:pStyle w:val="Compact"/>
      </w:pPr>
      <w:r>
        <w:t xml:space="preserve">Development of a framework for training Mechatronics Engineers in DR Congo.</w:t>
      </w:r>
    </w:p>
    <w:p>
      <w:pPr>
        <w:numPr>
          <w:ilvl w:val="0"/>
          <w:numId w:val="1008"/>
        </w:numPr>
        <w:pStyle w:val="Compact"/>
      </w:pPr>
      <w:r>
        <w:t xml:space="preserve">Recommendations for policy and investment in technological infrastructure.</w:t>
      </w:r>
    </w:p>
    <w:bookmarkEnd w:id="30"/>
    <w:bookmarkStart w:id="31" w:name="conclusion"/>
    <w:p>
      <w:pPr>
        <w:pStyle w:val="Heading2"/>
      </w:pPr>
      <w:r>
        <w:t xml:space="preserve">8. Conclusion</w:t>
      </w:r>
    </w:p>
    <w:p>
      <w:pPr>
        <w:pStyle w:val="FirstParagraph"/>
      </w:pPr>
      <w:r>
        <w:t xml:space="preserve">This Experiment Protocol provides a structured approach to evaluating the role of a Mechatronics Engineer in Kinshasa, DR Congo. By following these guidelines, researchers and engineers can contribute to the advancement of technology and industry in the region, addressing local challenges through innovation and collaboration.</w:t>
      </w:r>
    </w:p>
    <w:bookmarkEnd w:id="31"/>
    <w:p>
      <w:pPr>
        <w:pStyle w:val="BodyText"/>
      </w:pPr>
      <w:r>
        <w:rPr>
          <w:bCs/>
          <w:b/>
        </w:rPr>
        <w:t xml:space="preserve">Document Control:</w:t>
      </w:r>
      <w:r>
        <w:t xml:space="preserve"> </w:t>
      </w:r>
      <w:r>
        <w:t xml:space="preserve">This document is the property of the Technical Research Division. Unauthorized reproduction or distribution is prohibited.</w:t>
      </w:r>
    </w:p>
    <w:p>
      <w:pPr>
        <w:pStyle w:val="BodyText"/>
      </w:pPr>
      <w:r>
        <w:rPr>
          <w:bCs/>
          <w:b/>
        </w:rPr>
        <w:t xml:space="preserve">Version:</w:t>
      </w:r>
      <w:r>
        <w:t xml:space="preserve"> </w:t>
      </w:r>
      <w:r>
        <w:t xml:space="preserve">1.0 |</w:t>
      </w:r>
      <w:r>
        <w:t xml:space="preserve"> </w:t>
      </w:r>
      <w:r>
        <w:rPr>
          <w:bCs/>
          <w:b/>
        </w:rPr>
        <w:t xml:space="preserve">Last Updated:</w:t>
      </w:r>
      <w:r>
        <w:t xml:space="preserve"> </w:t>
      </w:r>
      <w:r>
        <w:t xml:space="preserve">October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in DR Congo Kinshasa</dc:title>
  <dc:creator/>
  <dc:language>en</dc:language>
  <cp:keywords/>
  <dcterms:created xsi:type="dcterms:W3CDTF">2026-10-10T01:00:45Z</dcterms:created>
  <dcterms:modified xsi:type="dcterms:W3CDTF">2026-10-10T01:00:45Z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