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31" w:name="Xb1da8ff4feac401008db0c3cf800863faf8ba1c"/>
    <w:p>
      <w:pPr>
        <w:pStyle w:val="Heading1"/>
      </w:pPr>
      <w:r>
        <w:t xml:space="preserve">Experiment Protocol: Mechatronics Engineer</w:t>
      </w:r>
    </w:p>
    <w:p>
      <w:pPr>
        <w:pStyle w:val="FirstParagraph"/>
      </w:pPr>
      <w:r>
        <w:rPr>
          <w:bCs/>
          <w:b/>
        </w:rPr>
        <w:t xml:space="preserve">Document ID:</w:t>
      </w:r>
      <w:r>
        <w:t xml:space="preserve"> </w:t>
      </w:r>
      <w:r>
        <w:t xml:space="preserve">MECH-JKT-EXP-2023-001</w:t>
      </w:r>
      <w:r>
        <w:br/>
      </w:r>
      <w:r>
        <w:rPr>
          <w:bCs/>
          <w:b/>
        </w:rPr>
        <w:t xml:space="preserve">Version:</w:t>
      </w:r>
      <w:r>
        <w:t xml:space="preserve"> </w:t>
      </w:r>
      <w:r>
        <w:t xml:space="preserve">1.0</w:t>
      </w:r>
      <w:r>
        <w:br/>
      </w:r>
      <w:r>
        <w:rPr>
          <w:bCs/>
          <w:b/>
        </w:rPr>
        <w:t xml:space="preserve">Date:</w:t>
      </w:r>
      <w:r>
        <w:t xml:space="preserve"> </w:t>
      </w:r>
      <w:r>
        <w:t xml:space="preserve">October 26, 2023</w:t>
      </w:r>
    </w:p>
    <w:p>
      <w:pPr>
        <w:pStyle w:val="BodyText"/>
      </w:pPr>
      <w:r>
        <w:rPr>
          <w:bCs/>
          <w:b/>
        </w:rPr>
        <w:t xml:space="preserve">Location:</w:t>
      </w:r>
      <w:r>
        <w:t xml:space="preserve"> </w:t>
      </w:r>
      <w:r>
        <w:t xml:space="preserve">Indonesia Jakarta</w:t>
      </w:r>
      <w:r>
        <w:br/>
      </w:r>
      <w:r>
        <w:rPr>
          <w:bCs/>
          <w:b/>
        </w:rPr>
        <w:t xml:space="preserve">Facility:</w:t>
      </w:r>
      <w:r>
        <w:t xml:space="preserve"> </w:t>
      </w:r>
      <w:r>
        <w:t xml:space="preserve">Advanced Mechatronics Research Lab, Jakarta</w:t>
      </w:r>
      <w:r>
        <w:br/>
      </w:r>
      <w:r>
        <w:rPr>
          <w:bCs/>
          <w:b/>
        </w:rPr>
        <w:t xml:space="preserve">Prepared By:</w:t>
      </w:r>
      <w:r>
        <w:t xml:space="preserve"> </w:t>
      </w:r>
      <w:r>
        <w:t xml:space="preserve">Lead Mechatronics Engineer</w:t>
      </w:r>
    </w:p>
    <w:bookmarkStart w:id="20" w:name="introduction"/>
    <w:p>
      <w:pPr>
        <w:pStyle w:val="Heading2"/>
      </w:pPr>
      <w:r>
        <w:t xml:space="preserve">1. Introduction</w:t>
      </w:r>
    </w:p>
    <w:p>
      <w:pPr>
        <w:pStyle w:val="FirstParagraph"/>
      </w:pPr>
      <w:r>
        <w:t xml:space="preserve">This Experiment Protocol outlines the procedures, safety measures, and technical requirements for conducting mechatronics experiments in the context of a Mechatronics Engineer operating within Indonesia Jakarta. The purpose of this document is to ensure standardized practices, maintain safety, and achieve accurate results in mechatronics-related research and development activities.</w:t>
      </w:r>
    </w:p>
    <w:p>
      <w:pPr>
        <w:pStyle w:val="BodyText"/>
      </w:pPr>
      <w:r>
        <w:t xml:space="preserve">Mechatronics integrates mechanical engineering, electronics, control systems, and computer science. This protocol is tailored to the environmental, regulatory, and operational conditions specific to Indonesia Jakarta, including climate considerations, local electrical standards, and industry practices.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clear procedures for setting up, executing, and documenting mechatronics experiments.</w:t>
      </w:r>
    </w:p>
    <w:p>
      <w:pPr>
        <w:numPr>
          <w:ilvl w:val="0"/>
          <w:numId w:val="1001"/>
        </w:numPr>
        <w:pStyle w:val="Compact"/>
      </w:pPr>
      <w:r>
        <w:t xml:space="preserve">To ensure the safety of personnel and equipment in the Indonesia Jakarta laboratory environment.</w:t>
      </w:r>
    </w:p>
    <w:p>
      <w:pPr>
        <w:numPr>
          <w:ilvl w:val="0"/>
          <w:numId w:val="1001"/>
        </w:numPr>
        <w:pStyle w:val="Compact"/>
      </w:pPr>
      <w:r>
        <w:t xml:space="preserve">To comply with local regulations and standards applicable to mechatronics engineering in Indonesia.</w:t>
      </w:r>
    </w:p>
    <w:p>
      <w:pPr>
        <w:numPr>
          <w:ilvl w:val="0"/>
          <w:numId w:val="1001"/>
        </w:numPr>
        <w:pStyle w:val="Compact"/>
      </w:pPr>
      <w:r>
        <w:t xml:space="preserve">To facilitate reproducible and reliable experimental outcomes for research and development purposes.</w:t>
      </w:r>
    </w:p>
    <w:bookmarkEnd w:id="21"/>
    <w:bookmarkStart w:id="22" w:name="scope"/>
    <w:p>
      <w:pPr>
        <w:pStyle w:val="Heading2"/>
      </w:pPr>
      <w:r>
        <w:t xml:space="preserve">3. Scope</w:t>
      </w:r>
    </w:p>
    <w:p>
      <w:pPr>
        <w:pStyle w:val="FirstParagraph"/>
      </w:pPr>
      <w:r>
        <w:t xml:space="preserve">This protocol applies to all Mechatronics Engineers, technicians, and support staff involved in experimental activities at facilities located in Indonesia Jakarta. It covers:</w:t>
      </w:r>
    </w:p>
    <w:p>
      <w:pPr>
        <w:numPr>
          <w:ilvl w:val="0"/>
          <w:numId w:val="1002"/>
        </w:numPr>
        <w:pStyle w:val="Compact"/>
      </w:pPr>
      <w:r>
        <w:t xml:space="preserve">Design and assembly of mechatronic systems.</w:t>
      </w:r>
    </w:p>
    <w:p>
      <w:pPr>
        <w:numPr>
          <w:ilvl w:val="0"/>
          <w:numId w:val="1002"/>
        </w:numPr>
        <w:pStyle w:val="Compact"/>
      </w:pPr>
      <w:r>
        <w:t xml:space="preserve">Electrical and electronic testing.</w:t>
      </w:r>
    </w:p>
    <w:p>
      <w:pPr>
        <w:numPr>
          <w:ilvl w:val="0"/>
          <w:numId w:val="1002"/>
        </w:numPr>
        <w:pStyle w:val="Compact"/>
      </w:pPr>
      <w:r>
        <w:t xml:space="preserve">Mechanical and structural evaluations.</w:t>
      </w:r>
    </w:p>
    <w:p>
      <w:pPr>
        <w:numPr>
          <w:ilvl w:val="0"/>
          <w:numId w:val="1002"/>
        </w:numPr>
        <w:pStyle w:val="Compact"/>
      </w:pPr>
      <w:r>
        <w:t xml:space="preserve">Control system programming and validation.</w:t>
      </w:r>
    </w:p>
    <w:p>
      <w:pPr>
        <w:numPr>
          <w:ilvl w:val="0"/>
          <w:numId w:val="1002"/>
        </w:numPr>
        <w:pStyle w:val="Compact"/>
      </w:pPr>
      <w:r>
        <w:t xml:space="preserve">Data acquisition and analysis.</w:t>
      </w:r>
    </w:p>
    <w:bookmarkEnd w:id="22"/>
    <w:bookmarkStart w:id="23" w:name="responsibilities"/>
    <w:p>
      <w:pPr>
        <w:pStyle w:val="Heading2"/>
      </w:pPr>
      <w:r>
        <w:t xml:space="preserve">4. Responsibilities</w:t>
      </w:r>
    </w:p>
    <w:p>
      <w:pPr>
        <w:pStyle w:val="FirstParagraph"/>
      </w:pPr>
      <w:r>
        <w:t xml:space="preserve">The following roles and responsibilities are defined:</w:t>
      </w:r>
    </w:p>
    <w:p>
      <w:pPr>
        <w:numPr>
          <w:ilvl w:val="0"/>
          <w:numId w:val="1003"/>
        </w:numPr>
        <w:pStyle w:val="Compact"/>
      </w:pPr>
      <w:r>
        <w:rPr>
          <w:bCs/>
          <w:b/>
        </w:rPr>
        <w:t xml:space="preserve">Lead Mechatronics Engineer:</w:t>
      </w:r>
      <w:r>
        <w:t xml:space="preserve"> </w:t>
      </w:r>
      <w:r>
        <w:t xml:space="preserve">Oversees the experiment design, ensures compliance with this protocol, and approves experimental procedures.</w:t>
      </w:r>
    </w:p>
    <w:p>
      <w:pPr>
        <w:numPr>
          <w:ilvl w:val="0"/>
          <w:numId w:val="1003"/>
        </w:numPr>
        <w:pStyle w:val="Compact"/>
      </w:pPr>
      <w:r>
        <w:rPr>
          <w:bCs/>
          <w:b/>
        </w:rPr>
        <w:t xml:space="preserve">Experiment Operators:</w:t>
      </w:r>
      <w:r>
        <w:t xml:space="preserve"> </w:t>
      </w:r>
      <w:r>
        <w:t xml:space="preserve">Execute the experiments according to the defined procedures, record data accurately, and report any anomalies.</w:t>
      </w:r>
    </w:p>
    <w:p>
      <w:pPr>
        <w:numPr>
          <w:ilvl w:val="0"/>
          <w:numId w:val="1003"/>
        </w:numPr>
        <w:pStyle w:val="Compact"/>
      </w:pPr>
      <w:r>
        <w:rPr>
          <w:bCs/>
          <w:b/>
        </w:rPr>
        <w:t xml:space="preserve">Safety Officer:</w:t>
      </w:r>
      <w:r>
        <w:t xml:space="preserve"> </w:t>
      </w:r>
      <w:r>
        <w:t xml:space="preserve">Monitors adherence to safety regulations and conducts regular safety inspections.</w:t>
      </w:r>
    </w:p>
    <w:p>
      <w:pPr>
        <w:numPr>
          <w:ilvl w:val="0"/>
          <w:numId w:val="1003"/>
        </w:numPr>
        <w:pStyle w:val="Compact"/>
      </w:pPr>
      <w:r>
        <w:rPr>
          <w:bCs/>
          <w:b/>
        </w:rPr>
        <w:t xml:space="preserve">Quality Assurance:</w:t>
      </w:r>
      <w:r>
        <w:t xml:space="preserve"> </w:t>
      </w:r>
      <w:r>
        <w:t xml:space="preserve">Reviews experimental documentation and ensures data integrity.</w:t>
      </w:r>
    </w:p>
    <w:bookmarkEnd w:id="23"/>
    <w:bookmarkStart w:id="24" w:name="safety-requirements"/>
    <w:p>
      <w:pPr>
        <w:pStyle w:val="Heading2"/>
      </w:pPr>
      <w:r>
        <w:t xml:space="preserve">5. Safety Requirements</w:t>
      </w:r>
    </w:p>
    <w:p>
      <w:pPr>
        <w:pStyle w:val="FirstParagraph"/>
      </w:pPr>
      <w:r>
        <w:t xml:space="preserve">Safety is paramount in all mechatronics experiments. The following measures must be strictly observed:</w:t>
      </w:r>
    </w:p>
    <w:p>
      <w:pPr>
        <w:numPr>
          <w:ilvl w:val="0"/>
          <w:numId w:val="1004"/>
        </w:numPr>
        <w:pStyle w:val="Compact"/>
      </w:pPr>
      <w:r>
        <w:t xml:space="preserve">Personal Protective Equipment (PPE): All personnel must wear appropriate PPE, including safety glasses, gloves, and closed-toe shoes.</w:t>
      </w:r>
    </w:p>
    <w:p>
      <w:pPr>
        <w:numPr>
          <w:ilvl w:val="0"/>
          <w:numId w:val="1004"/>
        </w:numPr>
        <w:pStyle w:val="Compact"/>
      </w:pPr>
      <w:r>
        <w:t xml:space="preserve">Electrical Safety: Ensure all electrical systems comply with Indonesian National Standards (SNI) and are properly grounded. Use residual current devices (RCDs) to prevent electric shock.</w:t>
      </w:r>
    </w:p>
    <w:p>
      <w:pPr>
        <w:numPr>
          <w:ilvl w:val="0"/>
          <w:numId w:val="1004"/>
        </w:numPr>
        <w:pStyle w:val="Compact"/>
      </w:pPr>
      <w:r>
        <w:t xml:space="preserve">Mechanical Safety: Secure all moving parts and use safety guards where necessary. Lockout/tagout procedures must be followed during maintenance.</w:t>
      </w:r>
    </w:p>
    <w:p>
      <w:pPr>
        <w:numPr>
          <w:ilvl w:val="0"/>
          <w:numId w:val="1004"/>
        </w:numPr>
        <w:pStyle w:val="Compact"/>
      </w:pPr>
      <w:r>
        <w:t xml:space="preserve">Environmental Considerations: Account for high humidity and temperature variations typical in Indonesia Jakarta. Use climate-controlled environments or protective enclosures for sensitive equipment.</w:t>
      </w:r>
    </w:p>
    <w:p>
      <w:pPr>
        <w:numPr>
          <w:ilvl w:val="0"/>
          <w:numId w:val="1004"/>
        </w:numPr>
        <w:pStyle w:val="Compact"/>
      </w:pPr>
      <w:r>
        <w:t xml:space="preserve">Emergency Procedures: Clearly mark emergency exits, fire extinguishers, and first aid kits. Conduct regular safety drills.</w:t>
      </w:r>
    </w:p>
    <w:bookmarkEnd w:id="24"/>
    <w:bookmarkStart w:id="25" w:name="equipment-and-materials"/>
    <w:p>
      <w:pPr>
        <w:pStyle w:val="Heading2"/>
      </w:pPr>
      <w:r>
        <w:t xml:space="preserve">6. Equipment and Materials</w:t>
      </w:r>
    </w:p>
    <w:p>
      <w:pPr>
        <w:pStyle w:val="FirstParagraph"/>
      </w:pPr>
      <w:r>
        <w:t xml:space="preserve">The following equipment and materials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Microcontroller Development Board</w:t>
            </w:r>
          </w:p>
        </w:tc>
        <w:tc>
          <w:tcPr/>
          <w:p>
            <w:pPr>
              <w:pStyle w:val="Compact"/>
              <w:jc w:val="left"/>
            </w:pPr>
            <w:r>
              <w:t xml:space="preserve">Arduino/STM32 compatible</w:t>
            </w:r>
          </w:p>
        </w:tc>
        <w:tc>
          <w:tcPr/>
          <w:p>
            <w:pPr>
              <w:pStyle w:val="Compact"/>
              <w:jc w:val="left"/>
            </w:pPr>
            <w:r>
              <w:t xml:space="preserve">5</w:t>
            </w:r>
          </w:p>
        </w:tc>
      </w:tr>
      <w:tr>
        <w:tc>
          <w:tcPr/>
          <w:p>
            <w:pPr>
              <w:pStyle w:val="Compact"/>
              <w:jc w:val="left"/>
            </w:pPr>
            <w:r>
              <w:t xml:space="preserve">Sensors</w:t>
            </w:r>
          </w:p>
        </w:tc>
        <w:tc>
          <w:tcPr/>
          <w:p>
            <w:pPr>
              <w:pStyle w:val="Compact"/>
              <w:jc w:val="left"/>
            </w:pPr>
            <w:r>
              <w:t xml:space="preserve">Temperature, humidity, proximity, force</w:t>
            </w:r>
          </w:p>
        </w:tc>
        <w:tc>
          <w:tcPr/>
          <w:p>
            <w:pPr>
              <w:pStyle w:val="Compact"/>
              <w:jc w:val="left"/>
            </w:pPr>
            <w:r>
              <w:t xml:space="preserve">As required</w:t>
            </w:r>
          </w:p>
        </w:tc>
      </w:tr>
      <w:tr>
        <w:tc>
          <w:tcPr/>
          <w:p>
            <w:pPr>
              <w:pStyle w:val="Compact"/>
              <w:jc w:val="left"/>
            </w:pPr>
            <w:r>
              <w:t xml:space="preserve">Actuators</w:t>
            </w:r>
          </w:p>
        </w:tc>
        <w:tc>
          <w:tcPr/>
          <w:p>
            <w:pPr>
              <w:pStyle w:val="Compact"/>
              <w:jc w:val="left"/>
            </w:pPr>
            <w:r>
              <w:t xml:space="preserve">DC motors, servos, linear actuators</w:t>
            </w:r>
          </w:p>
        </w:tc>
        <w:tc>
          <w:tcPr/>
          <w:p>
            <w:pPr>
              <w:pStyle w:val="Compact"/>
              <w:jc w:val="left"/>
            </w:pPr>
            <w:r>
              <w:t xml:space="preserve">As required</w:t>
            </w:r>
          </w:p>
        </w:tc>
      </w:tr>
      <w:tr>
        <w:tc>
          <w:tcPr/>
          <w:p>
            <w:pPr>
              <w:pStyle w:val="Compact"/>
              <w:jc w:val="left"/>
            </w:pPr>
            <w:r>
              <w:t xml:space="preserve">Power Supply</w:t>
            </w:r>
          </w:p>
        </w:tc>
        <w:tc>
          <w:tcPr/>
          <w:p>
            <w:pPr>
              <w:pStyle w:val="Compact"/>
              <w:jc w:val="left"/>
            </w:pPr>
            <w:r>
              <w:t xml:space="preserve">Adjustable DC, 0-30V, 5A</w:t>
            </w:r>
          </w:p>
        </w:tc>
        <w:tc>
          <w:tcPr/>
          <w:p>
            <w:pPr>
              <w:pStyle w:val="Compact"/>
              <w:jc w:val="left"/>
            </w:pPr>
            <w:r>
              <w:t xml:space="preserve">3</w:t>
            </w:r>
          </w:p>
        </w:tc>
      </w:tr>
      <w:tr>
        <w:tc>
          <w:tcPr/>
          <w:p>
            <w:pPr>
              <w:pStyle w:val="Compact"/>
              <w:jc w:val="left"/>
            </w:pPr>
            <w:r>
              <w:t xml:space="preserve">Oscilloscope</w:t>
            </w:r>
          </w:p>
        </w:tc>
        <w:tc>
          <w:tcPr/>
          <w:p>
            <w:pPr>
              <w:pStyle w:val="Compact"/>
              <w:jc w:val="left"/>
            </w:pPr>
            <w:r>
              <w:t xml:space="preserve">Digital, 100MHz bandwidth</w:t>
            </w:r>
          </w:p>
        </w:tc>
        <w:tc>
          <w:tcPr/>
          <w:p>
            <w:pPr>
              <w:pStyle w:val="Compact"/>
              <w:jc w:val="left"/>
            </w:pPr>
            <w:r>
              <w:t xml:space="preserve">2</w:t>
            </w:r>
          </w:p>
        </w:tc>
      </w:tr>
      <w:tr>
        <w:tc>
          <w:tcPr/>
          <w:p>
            <w:pPr>
              <w:pStyle w:val="Compact"/>
              <w:jc w:val="left"/>
            </w:pPr>
            <w:r>
              <w:t xml:space="preserve">Data Acquisition System</w:t>
            </w:r>
          </w:p>
        </w:tc>
        <w:tc>
          <w:tcPr/>
          <w:p>
            <w:pPr>
              <w:pStyle w:val="Compact"/>
              <w:jc w:val="left"/>
            </w:pPr>
            <w:r>
              <w:t xml:space="preserve">Compatible with control software</w:t>
            </w:r>
          </w:p>
        </w:tc>
        <w:tc>
          <w:tcPr/>
          <w:p>
            <w:pPr>
              <w:pStyle w:val="Compact"/>
              <w:jc w:val="left"/>
            </w:pPr>
            <w:r>
              <w:t xml:space="preserve">1</w:t>
            </w:r>
          </w:p>
        </w:tc>
      </w:tr>
    </w:tbl>
    <w:bookmarkEnd w:id="25"/>
    <w:bookmarkStart w:id="26" w:name="experimental-procedure"/>
    <w:p>
      <w:pPr>
        <w:pStyle w:val="Heading2"/>
      </w:pPr>
      <w:r>
        <w:t xml:space="preserve">7. Experimental Procedure</w:t>
      </w:r>
    </w:p>
    <w:p>
      <w:pPr>
        <w:pStyle w:val="FirstParagraph"/>
      </w:pPr>
      <w:r>
        <w:t xml:space="preserve">The experiment shall be conducted as follows:</w:t>
      </w:r>
    </w:p>
    <w:p>
      <w:pPr>
        <w:numPr>
          <w:ilvl w:val="0"/>
          <w:numId w:val="1005"/>
        </w:numPr>
        <w:pStyle w:val="Compact"/>
      </w:pPr>
      <w:r>
        <w:rPr>
          <w:bCs/>
          <w:b/>
        </w:rPr>
        <w:t xml:space="preserve">Preparation:</w:t>
      </w:r>
      <w:r>
        <w:t xml:space="preserve"> </w:t>
      </w:r>
      <w:r>
        <w:t xml:space="preserve">Review the experiment plan and ensure all equipment is calibrated and functional.</w:t>
      </w:r>
    </w:p>
    <w:p>
      <w:pPr>
        <w:numPr>
          <w:ilvl w:val="0"/>
          <w:numId w:val="1005"/>
        </w:numPr>
        <w:pStyle w:val="Compact"/>
      </w:pPr>
      <w:r>
        <w:rPr>
          <w:bCs/>
          <w:b/>
        </w:rPr>
        <w:t xml:space="preserve">Setup:</w:t>
      </w:r>
      <w:r>
        <w:t xml:space="preserve"> </w:t>
      </w:r>
      <w:r>
        <w:t xml:space="preserve">Assemble the mechatronic system according to the design specifications. Verify all electrical connections and mechanical alignments.</w:t>
      </w:r>
    </w:p>
    <w:p>
      <w:pPr>
        <w:numPr>
          <w:ilvl w:val="0"/>
          <w:numId w:val="1005"/>
        </w:numPr>
        <w:pStyle w:val="Compact"/>
      </w:pPr>
      <w:r>
        <w:rPr>
          <w:bCs/>
          <w:b/>
        </w:rPr>
        <w:t xml:space="preserve">Programming:</w:t>
      </w:r>
      <w:r>
        <w:t xml:space="preserve"> </w:t>
      </w:r>
      <w:r>
        <w:t xml:space="preserve">Upload control algorithms to the microcontroller. Test basic functionality before proceeding.</w:t>
      </w:r>
    </w:p>
    <w:p>
      <w:pPr>
        <w:numPr>
          <w:ilvl w:val="0"/>
          <w:numId w:val="1005"/>
        </w:numPr>
        <w:pStyle w:val="Compact"/>
      </w:pPr>
      <w:r>
        <w:rPr>
          <w:bCs/>
          <w:b/>
        </w:rPr>
        <w:t xml:space="preserve">Execution:</w:t>
      </w:r>
      <w:r>
        <w:t xml:space="preserve"> </w:t>
      </w:r>
      <w:r>
        <w:t xml:space="preserve">Run the experiment under controlled conditions. Monitor system performance and record data continuously.</w:t>
      </w:r>
    </w:p>
    <w:p>
      <w:pPr>
        <w:numPr>
          <w:ilvl w:val="0"/>
          <w:numId w:val="1005"/>
        </w:numPr>
        <w:pStyle w:val="Compact"/>
      </w:pPr>
      <w:r>
        <w:rPr>
          <w:bCs/>
          <w:b/>
        </w:rPr>
        <w:t xml:space="preserve">Observation:</w:t>
      </w:r>
      <w:r>
        <w:t xml:space="preserve"> </w:t>
      </w:r>
      <w:r>
        <w:t xml:space="preserve">Note any deviations from expected behavior. Adjust parameters as necessary within safe limits.</w:t>
      </w:r>
    </w:p>
    <w:p>
      <w:pPr>
        <w:numPr>
          <w:ilvl w:val="0"/>
          <w:numId w:val="1005"/>
        </w:numPr>
        <w:pStyle w:val="Compact"/>
      </w:pPr>
      <w:r>
        <w:rPr>
          <w:bCs/>
          <w:b/>
        </w:rPr>
        <w:t xml:space="preserve">Shutdown:</w:t>
      </w:r>
      <w:r>
        <w:t xml:space="preserve"> </w:t>
      </w:r>
      <w:r>
        <w:t xml:space="preserve">Power down the system in a controlled manner. Disconnect power sources and secure all components.</w:t>
      </w:r>
    </w:p>
    <w:bookmarkEnd w:id="26"/>
    <w:bookmarkStart w:id="27" w:name="data-collection-and-analysis"/>
    <w:p>
      <w:pPr>
        <w:pStyle w:val="Heading2"/>
      </w:pPr>
      <w:r>
        <w:t xml:space="preserve">8. Data Collection and Analysis</w:t>
      </w:r>
    </w:p>
    <w:p>
      <w:pPr>
        <w:pStyle w:val="FirstParagraph"/>
      </w:pPr>
      <w:r>
        <w:t xml:space="preserve">Data shall be collected using calibrated instruments and stored in a secure database. The following steps are required:</w:t>
      </w:r>
    </w:p>
    <w:p>
      <w:pPr>
        <w:numPr>
          <w:ilvl w:val="0"/>
          <w:numId w:val="1006"/>
        </w:numPr>
        <w:pStyle w:val="Compact"/>
      </w:pPr>
      <w:r>
        <w:t xml:space="preserve">Record all experimental parameters, including environmental conditions specific to Indonesia Jakarta.</w:t>
      </w:r>
    </w:p>
    <w:p>
      <w:pPr>
        <w:numPr>
          <w:ilvl w:val="0"/>
          <w:numId w:val="1006"/>
        </w:numPr>
        <w:pStyle w:val="Compact"/>
      </w:pPr>
      <w:r>
        <w:t xml:space="preserve">Use standardized formats for data logging to ensure consistency.</w:t>
      </w:r>
    </w:p>
    <w:p>
      <w:pPr>
        <w:numPr>
          <w:ilvl w:val="0"/>
          <w:numId w:val="1006"/>
        </w:numPr>
        <w:pStyle w:val="Compact"/>
      </w:pPr>
      <w:r>
        <w:t xml:space="preserve">Analyze data using appropriate statistical methods and simulation tools.</w:t>
      </w:r>
    </w:p>
    <w:p>
      <w:pPr>
        <w:numPr>
          <w:ilvl w:val="0"/>
          <w:numId w:val="1006"/>
        </w:numPr>
        <w:pStyle w:val="Compact"/>
      </w:pPr>
      <w:r>
        <w:t xml:space="preserve">Document findings, anomalies, and recommendations for future experiments.</w:t>
      </w:r>
    </w:p>
    <w:bookmarkEnd w:id="27"/>
    <w:bookmarkStart w:id="28" w:name="documentation-and-reporting"/>
    <w:p>
      <w:pPr>
        <w:pStyle w:val="Heading2"/>
      </w:pPr>
      <w:r>
        <w:t xml:space="preserve">9. Documentation and Reporting</w:t>
      </w:r>
    </w:p>
    <w:p>
      <w:pPr>
        <w:pStyle w:val="FirstParagraph"/>
      </w:pPr>
      <w:r>
        <w:t xml:space="preserve">Comprehensive documentation is essential for traceability and knowledge sharing. The following documents must be prepared:</w:t>
      </w:r>
    </w:p>
    <w:p>
      <w:pPr>
        <w:numPr>
          <w:ilvl w:val="0"/>
          <w:numId w:val="1007"/>
        </w:numPr>
        <w:pStyle w:val="Compact"/>
      </w:pPr>
      <w:r>
        <w:t xml:space="preserve">Experiment Plan</w:t>
      </w:r>
    </w:p>
    <w:p>
      <w:pPr>
        <w:numPr>
          <w:ilvl w:val="0"/>
          <w:numId w:val="1007"/>
        </w:numPr>
        <w:pStyle w:val="Compact"/>
      </w:pPr>
      <w:r>
        <w:t xml:space="preserve">Setup Diagrams and Schematics</w:t>
      </w:r>
    </w:p>
    <w:p>
      <w:pPr>
        <w:numPr>
          <w:ilvl w:val="0"/>
          <w:numId w:val="1007"/>
        </w:numPr>
        <w:pStyle w:val="Compact"/>
      </w:pPr>
      <w:r>
        <w:t xml:space="preserve">Raw Data Logs</w:t>
      </w:r>
    </w:p>
    <w:p>
      <w:pPr>
        <w:numPr>
          <w:ilvl w:val="0"/>
          <w:numId w:val="1007"/>
        </w:numPr>
        <w:pStyle w:val="Compact"/>
      </w:pPr>
      <w:r>
        <w:t xml:space="preserve">Analysis Reports</w:t>
      </w:r>
    </w:p>
    <w:p>
      <w:pPr>
        <w:numPr>
          <w:ilvl w:val="0"/>
          <w:numId w:val="1007"/>
        </w:numPr>
        <w:pStyle w:val="Compact"/>
      </w:pPr>
      <w:r>
        <w:t xml:space="preserve">Safety Incident Reports (if applicable)</w:t>
      </w:r>
    </w:p>
    <w:bookmarkEnd w:id="28"/>
    <w:bookmarkStart w:id="29" w:name="compliance-and-standards"/>
    <w:p>
      <w:pPr>
        <w:pStyle w:val="Heading2"/>
      </w:pPr>
      <w:r>
        <w:t xml:space="preserve">10. Compliance and Standards</w:t>
      </w:r>
    </w:p>
    <w:p>
      <w:pPr>
        <w:pStyle w:val="FirstParagraph"/>
      </w:pPr>
      <w:r>
        <w:t xml:space="preserve">All experiments must comply with:</w:t>
      </w:r>
    </w:p>
    <w:p>
      <w:pPr>
        <w:numPr>
          <w:ilvl w:val="0"/>
          <w:numId w:val="1008"/>
        </w:numPr>
        <w:pStyle w:val="Compact"/>
      </w:pPr>
      <w:r>
        <w:t xml:space="preserve">Indonesian National Standards (SNI) relevant to mechatronics and electrical safety.</w:t>
      </w:r>
    </w:p>
    <w:p>
      <w:pPr>
        <w:numPr>
          <w:ilvl w:val="0"/>
          <w:numId w:val="1008"/>
        </w:numPr>
        <w:pStyle w:val="Compact"/>
      </w:pPr>
      <w:r>
        <w:t xml:space="preserve">Local regulations in Indonesia Jakarta concerning laboratory operations and environmental protection.</w:t>
      </w:r>
    </w:p>
    <w:p>
      <w:pPr>
        <w:numPr>
          <w:ilvl w:val="0"/>
          <w:numId w:val="1008"/>
        </w:numPr>
        <w:pStyle w:val="Compact"/>
      </w:pPr>
      <w:r>
        <w:t xml:space="preserve">International standards such as ISO and IEC where applicable.</w:t>
      </w:r>
    </w:p>
    <w:bookmarkEnd w:id="29"/>
    <w:bookmarkStart w:id="30" w:name="revision-history"/>
    <w:p>
      <w:pPr>
        <w:pStyle w:val="Heading2"/>
      </w:pPr>
      <w:r>
        <w:t xml:space="preserve">11. Revision History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Description</w:t>
            </w:r>
          </w:p>
        </w:tc>
        <w:tc>
          <w:tcPr/>
          <w:p>
            <w:pPr>
              <w:pStyle w:val="Compact"/>
              <w:jc w:val="left"/>
            </w:pPr>
            <w:r>
              <w:t xml:space="preserve">Author</w:t>
            </w:r>
          </w:p>
        </w:tc>
      </w:tr>
      <w:tr>
        <w:tc>
          <w:tcPr/>
          <w:p>
            <w:pPr>
              <w:pStyle w:val="Compact"/>
              <w:jc w:val="left"/>
            </w:pPr>
            <w:r>
              <w:t xml:space="preserve">1.0</w:t>
            </w:r>
          </w:p>
        </w:tc>
        <w:tc>
          <w:tcPr/>
          <w:p>
            <w:pPr>
              <w:pStyle w:val="Compact"/>
              <w:jc w:val="left"/>
            </w:pPr>
            <w:r>
              <w:t xml:space="preserve">October 26, 2023</w:t>
            </w:r>
          </w:p>
        </w:tc>
        <w:tc>
          <w:tcPr/>
          <w:p>
            <w:pPr>
              <w:pStyle w:val="Compact"/>
              <w:jc w:val="left"/>
            </w:pPr>
            <w:r>
              <w:t xml:space="preserve">Initial release</w:t>
            </w:r>
          </w:p>
        </w:tc>
        <w:tc>
          <w:tcPr/>
          <w:p>
            <w:pPr>
              <w:pStyle w:val="Compact"/>
              <w:jc w:val="left"/>
            </w:pPr>
            <w:r>
              <w:t xml:space="preserve">Lead Mechatronics Engineer</w:t>
            </w:r>
          </w:p>
        </w:tc>
      </w:tr>
    </w:tbl>
    <w:bookmarkEnd w:id="30"/>
    <w:p>
      <w:pPr>
        <w:pStyle w:val="BodyText"/>
      </w:pPr>
      <w:r>
        <w:t xml:space="preserve">This document is the property of the Mechatronics Engineering Department, Indonesia Jakarta. Unauthorized reproduction or distribution is prohibited.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Indonesia Jakarta</dc:title>
  <dc:creator/>
  <dc:language>en</dc:language>
  <cp:keywords/>
  <dcterms:created xsi:type="dcterms:W3CDTF">2026-10-10T02:39:03Z</dcterms:created>
  <dcterms:modified xsi:type="dcterms:W3CDTF">2026-10-10T02:39:03Z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