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experiment-protocol-document"/>
    <w:p>
      <w:pPr>
        <w:pStyle w:val="Heading1"/>
      </w:pPr>
      <w:r>
        <w:t xml:space="preserve">Experiment Protocol Document</w:t>
      </w:r>
    </w:p>
    <w:p>
      <w:pPr>
        <w:pStyle w:val="FirstParagraph"/>
      </w:pPr>
      <w:r>
        <w:rPr>
          <w:bCs/>
          <w:b/>
        </w:rPr>
        <w:t xml:space="preserve">Role:</w:t>
      </w:r>
      <w:r>
        <w:t xml:space="preserve"> </w:t>
      </w:r>
      <w:r>
        <w:t xml:space="preserve">Mechatronics Engineer</w:t>
      </w:r>
    </w:p>
    <w:p>
      <w:pPr>
        <w:pStyle w:val="BodyText"/>
      </w:pPr>
      <w:r>
        <w:rPr>
          <w:bCs/>
          <w:b/>
        </w:rPr>
        <w:t xml:space="preserve">Location:</w:t>
      </w:r>
      <w:r>
        <w:t xml:space="preserve"> </w:t>
      </w:r>
      <w:r>
        <w:t xml:space="preserve">Kuala Lumpur, Malaysia</w:t>
      </w:r>
    </w:p>
    <w:p>
      <w:pPr>
        <w:pStyle w:val="BodyText"/>
      </w:pPr>
      <w:r>
        <w:rPr>
          <w:bCs/>
          <w:b/>
        </w:rPr>
        <w:t xml:space="preserve">Date:</w:t>
      </w:r>
      <w:r>
        <w:t xml:space="preserve"> </w:t>
      </w:r>
      <w:r>
        <w:t xml:space="preserve">October 2023</w:t>
      </w:r>
    </w:p>
    <w:p>
      <w:pPr>
        <w:pStyle w:val="BodyText"/>
      </w:pPr>
      <w:r>
        <w:rPr>
          <w:bCs/>
          <w:b/>
        </w:rPr>
        <w:t xml:space="preserve">Document ID:</w:t>
      </w:r>
      <w:r>
        <w:t xml:space="preserve"> </w:t>
      </w:r>
      <w:r>
        <w:t xml:space="preserve">EP-ME-KL-2023-001</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mechatronics experiments in Kuala Lumpur, Malaysia. The protocol is designed for Mechatronics Engineers working in research, development, and industrial applications. It ensures compliance with local regulations, including those set by the Department of Occupational Safety and Health (DOSH) Malaysia, and aligns with international standards for mechatronics engineering practices.</w:t>
      </w:r>
    </w:p>
    <w:bookmarkEnd w:id="21"/>
    <w:bookmarkStart w:id="22"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establish a standardized framework for conducting mechatronics experiments in Kuala Lumpur.</w:t>
      </w:r>
    </w:p>
    <w:p>
      <w:pPr>
        <w:numPr>
          <w:ilvl w:val="0"/>
          <w:numId w:val="1001"/>
        </w:numPr>
        <w:pStyle w:val="Compact"/>
      </w:pPr>
      <w:r>
        <w:t xml:space="preserve">To ensure the safety of personnel, equipment, and the environment.</w:t>
      </w:r>
    </w:p>
    <w:p>
      <w:pPr>
        <w:numPr>
          <w:ilvl w:val="0"/>
          <w:numId w:val="1001"/>
        </w:numPr>
        <w:pStyle w:val="Compact"/>
      </w:pPr>
      <w:r>
        <w:t xml:space="preserve">To promote accuracy, repeatability, and reliability in experimental results.</w:t>
      </w:r>
    </w:p>
    <w:p>
      <w:pPr>
        <w:numPr>
          <w:ilvl w:val="0"/>
          <w:numId w:val="1001"/>
        </w:numPr>
        <w:pStyle w:val="Compact"/>
      </w:pPr>
      <w:r>
        <w:t xml:space="preserve">To comply with Malaysian regulatory requirements and industry best practices.</w:t>
      </w:r>
    </w:p>
    <w:bookmarkEnd w:id="22"/>
    <w:bookmarkStart w:id="23" w:name="scope"/>
    <w:p>
      <w:pPr>
        <w:pStyle w:val="Heading2"/>
      </w:pPr>
      <w:r>
        <w:t xml:space="preserve">3. Scope</w:t>
      </w:r>
    </w:p>
    <w:p>
      <w:pPr>
        <w:pStyle w:val="FirstParagraph"/>
      </w:pPr>
      <w:r>
        <w:t xml:space="preserve">This protocol applies to all Mechatronics Engineers and related personnel involved in experimental activities within Kuala Lumpur, Malaysia. It covers:</w:t>
      </w:r>
    </w:p>
    <w:p>
      <w:pPr>
        <w:numPr>
          <w:ilvl w:val="0"/>
          <w:numId w:val="1002"/>
        </w:numPr>
        <w:pStyle w:val="Compact"/>
      </w:pPr>
      <w:r>
        <w:t xml:space="preserve">Design and setup of mechatronic systems.</w:t>
      </w:r>
    </w:p>
    <w:p>
      <w:pPr>
        <w:numPr>
          <w:ilvl w:val="0"/>
          <w:numId w:val="1002"/>
        </w:numPr>
        <w:pStyle w:val="Compact"/>
      </w:pPr>
      <w:r>
        <w:t xml:space="preserve">Testing of sensors, actuators, and control systems.</w:t>
      </w:r>
    </w:p>
    <w:p>
      <w:pPr>
        <w:numPr>
          <w:ilvl w:val="0"/>
          <w:numId w:val="1002"/>
        </w:numPr>
        <w:pStyle w:val="Compact"/>
      </w:pPr>
      <w:r>
        <w:t xml:space="preserve">Integration of mechanical, electrical, and software components.</w:t>
      </w:r>
    </w:p>
    <w:p>
      <w:pPr>
        <w:numPr>
          <w:ilvl w:val="0"/>
          <w:numId w:val="1002"/>
        </w:numPr>
        <w:pStyle w:val="Compact"/>
      </w:pPr>
      <w:r>
        <w:t xml:space="preserve">Data acquisition, analysis, and reporting.</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Mechatronics Engineer</w:t>
            </w:r>
          </w:p>
        </w:tc>
        <w:tc>
          <w:tcPr/>
          <w:p>
            <w:pPr>
              <w:pStyle w:val="Compact"/>
              <w:jc w:val="left"/>
            </w:pPr>
            <w:r>
              <w:t xml:space="preserve">Design experiments, ensure compliance with this protocol, and document results.</w:t>
            </w:r>
          </w:p>
        </w:tc>
      </w:tr>
      <w:tr>
        <w:tc>
          <w:tcPr/>
          <w:p>
            <w:pPr>
              <w:pStyle w:val="Compact"/>
              <w:jc w:val="left"/>
            </w:pPr>
            <w:r>
              <w:t xml:space="preserve">Lab Supervisor</w:t>
            </w:r>
          </w:p>
        </w:tc>
        <w:tc>
          <w:tcPr/>
          <w:p>
            <w:pPr>
              <w:pStyle w:val="Compact"/>
              <w:jc w:val="left"/>
            </w:pPr>
            <w:r>
              <w:t xml:space="preserve">Oversee experimental activities and ensure adherence to safety standards.</w:t>
            </w:r>
          </w:p>
        </w:tc>
      </w:tr>
      <w:tr>
        <w:tc>
          <w:tcPr/>
          <w:p>
            <w:pPr>
              <w:pStyle w:val="Compact"/>
              <w:jc w:val="left"/>
            </w:pPr>
            <w:r>
              <w:t xml:space="preserve">Safety Officer</w:t>
            </w:r>
          </w:p>
        </w:tc>
        <w:tc>
          <w:tcPr/>
          <w:p>
            <w:pPr>
              <w:pStyle w:val="Compact"/>
              <w:jc w:val="left"/>
            </w:pPr>
            <w:r>
              <w:t xml:space="preserve">Conduct risk assessments and enforce safety protocols.</w:t>
            </w:r>
          </w:p>
        </w:tc>
      </w:tr>
      <w:tr>
        <w:tc>
          <w:tcPr/>
          <w:p>
            <w:pPr>
              <w:pStyle w:val="Compact"/>
              <w:jc w:val="left"/>
            </w:pPr>
            <w:r>
              <w:t xml:space="preserve">Quality Assurance Team</w:t>
            </w:r>
          </w:p>
        </w:tc>
        <w:tc>
          <w:tcPr/>
          <w:p>
            <w:pPr>
              <w:pStyle w:val="Compact"/>
              <w:jc w:val="left"/>
            </w:pPr>
            <w:r>
              <w:t xml:space="preserve">Review experimental procedures and validate results.</w:t>
            </w:r>
          </w:p>
        </w:tc>
      </w:tr>
    </w:tbl>
    <w:bookmarkEnd w:id="24"/>
    <w:bookmarkStart w:id="25" w:name="safety-measures"/>
    <w:p>
      <w:pPr>
        <w:pStyle w:val="Heading2"/>
      </w:pPr>
      <w:r>
        <w:t xml:space="preserve">5. Safety Measures</w:t>
      </w:r>
    </w:p>
    <w:p>
      <w:pPr>
        <w:pStyle w:val="FirstParagraph"/>
      </w:pPr>
      <w:r>
        <w:t xml:space="preserve">All experiments must adhere to the following safety measures:</w:t>
      </w:r>
    </w:p>
    <w:p>
      <w:pPr>
        <w:numPr>
          <w:ilvl w:val="0"/>
          <w:numId w:val="1003"/>
        </w:numPr>
        <w:pStyle w:val="Compact"/>
      </w:pPr>
      <w:r>
        <w:t xml:space="preserve">Wear appropriate personal protective equipment (PPE), including safety glasses, gloves, and lab coats.</w:t>
      </w:r>
    </w:p>
    <w:p>
      <w:pPr>
        <w:numPr>
          <w:ilvl w:val="0"/>
          <w:numId w:val="1003"/>
        </w:numPr>
        <w:pStyle w:val="Compact"/>
      </w:pPr>
      <w:r>
        <w:t xml:space="preserve">Ensure all electrical systems are properly grounded and insulated.</w:t>
      </w:r>
    </w:p>
    <w:p>
      <w:pPr>
        <w:numPr>
          <w:ilvl w:val="0"/>
          <w:numId w:val="1003"/>
        </w:numPr>
        <w:pStyle w:val="Compact"/>
      </w:pPr>
      <w:r>
        <w:t xml:space="preserve">Use lockout/tagout procedures for machinery maintenance.</w:t>
      </w:r>
    </w:p>
    <w:p>
      <w:pPr>
        <w:numPr>
          <w:ilvl w:val="0"/>
          <w:numId w:val="1003"/>
        </w:numPr>
        <w:pStyle w:val="Compact"/>
      </w:pPr>
      <w:r>
        <w:t xml:space="preserve">Conduct regular safety drills and training sessions.</w:t>
      </w:r>
    </w:p>
    <w:p>
      <w:pPr>
        <w:numPr>
          <w:ilvl w:val="0"/>
          <w:numId w:val="1003"/>
        </w:numPr>
        <w:pStyle w:val="Compact"/>
      </w:pPr>
      <w:r>
        <w:t xml:space="preserve">Report any incidents or near-misses immediately to the Safety Officer.</w:t>
      </w:r>
    </w:p>
    <w:bookmarkEnd w:id="25"/>
    <w:bookmarkStart w:id="29" w:name="experimental-procedures"/>
    <w:p>
      <w:pPr>
        <w:pStyle w:val="Heading2"/>
      </w:pPr>
      <w:r>
        <w:t xml:space="preserve">6. Experimental Procedures</w:t>
      </w:r>
    </w:p>
    <w:bookmarkStart w:id="26" w:name="pre-experiment-preparation"/>
    <w:p>
      <w:pPr>
        <w:pStyle w:val="Heading3"/>
      </w:pPr>
      <w:r>
        <w:t xml:space="preserve">6.1 Pre-Experiment Preparation</w:t>
      </w:r>
    </w:p>
    <w:p>
      <w:pPr>
        <w:numPr>
          <w:ilvl w:val="0"/>
          <w:numId w:val="1004"/>
        </w:numPr>
        <w:pStyle w:val="Compact"/>
      </w:pPr>
      <w:r>
        <w:t xml:space="preserve">Review the experimental design and objectives.</w:t>
      </w:r>
    </w:p>
    <w:p>
      <w:pPr>
        <w:numPr>
          <w:ilvl w:val="0"/>
          <w:numId w:val="1004"/>
        </w:numPr>
        <w:pStyle w:val="Compact"/>
      </w:pPr>
      <w:r>
        <w:t xml:space="preserve">Inspect all equipment and tools for functionality and safety.</w:t>
      </w:r>
    </w:p>
    <w:p>
      <w:pPr>
        <w:numPr>
          <w:ilvl w:val="0"/>
          <w:numId w:val="1004"/>
        </w:numPr>
        <w:pStyle w:val="Compact"/>
      </w:pPr>
      <w:r>
        <w:t xml:space="preserve">Calibrate sensors and measurement devices as per manufacturer guidelines.</w:t>
      </w:r>
    </w:p>
    <w:p>
      <w:pPr>
        <w:numPr>
          <w:ilvl w:val="0"/>
          <w:numId w:val="1004"/>
        </w:numPr>
        <w:pStyle w:val="Compact"/>
      </w:pPr>
      <w:r>
        <w:t xml:space="preserve">Prepare a detailed risk assessment and mitigation plan.</w:t>
      </w:r>
    </w:p>
    <w:bookmarkEnd w:id="26"/>
    <w:bookmarkStart w:id="27" w:name="experiment-execution"/>
    <w:p>
      <w:pPr>
        <w:pStyle w:val="Heading3"/>
      </w:pPr>
      <w:r>
        <w:t xml:space="preserve">6.2 Experiment Execution</w:t>
      </w:r>
    </w:p>
    <w:p>
      <w:pPr>
        <w:numPr>
          <w:ilvl w:val="0"/>
          <w:numId w:val="1005"/>
        </w:numPr>
        <w:pStyle w:val="Compact"/>
      </w:pPr>
      <w:r>
        <w:t xml:space="preserve">Follow the step-by-step procedure outlined in the experimental design.</w:t>
      </w:r>
    </w:p>
    <w:p>
      <w:pPr>
        <w:numPr>
          <w:ilvl w:val="0"/>
          <w:numId w:val="1005"/>
        </w:numPr>
        <w:pStyle w:val="Compact"/>
      </w:pPr>
      <w:r>
        <w:t xml:space="preserve">Monitor all systems continuously for anomalies or malfunctions.</w:t>
      </w:r>
    </w:p>
    <w:p>
      <w:pPr>
        <w:numPr>
          <w:ilvl w:val="0"/>
          <w:numId w:val="1005"/>
        </w:numPr>
        <w:pStyle w:val="Compact"/>
      </w:pPr>
      <w:r>
        <w:t xml:space="preserve">Record all data accurately and in real-time.</w:t>
      </w:r>
    </w:p>
    <w:p>
      <w:pPr>
        <w:numPr>
          <w:ilvl w:val="0"/>
          <w:numId w:val="1005"/>
        </w:numPr>
        <w:pStyle w:val="Compact"/>
      </w:pPr>
      <w:r>
        <w:t xml:space="preserve">Ensure proper ventilation and temperature control in the lab environment.</w:t>
      </w:r>
    </w:p>
    <w:bookmarkEnd w:id="27"/>
    <w:bookmarkStart w:id="28" w:name="post-experiment-activities"/>
    <w:p>
      <w:pPr>
        <w:pStyle w:val="Heading3"/>
      </w:pPr>
      <w:r>
        <w:t xml:space="preserve">6.3 Post-Experiment Activities</w:t>
      </w:r>
    </w:p>
    <w:p>
      <w:pPr>
        <w:numPr>
          <w:ilvl w:val="0"/>
          <w:numId w:val="1006"/>
        </w:numPr>
        <w:pStyle w:val="Compact"/>
      </w:pPr>
      <w:r>
        <w:t xml:space="preserve">Power down all equipment safely.</w:t>
      </w:r>
    </w:p>
    <w:p>
      <w:pPr>
        <w:numPr>
          <w:ilvl w:val="0"/>
          <w:numId w:val="1006"/>
        </w:numPr>
        <w:pStyle w:val="Compact"/>
      </w:pPr>
      <w:r>
        <w:t xml:space="preserve">Clean and store tools and materials properly.</w:t>
      </w:r>
    </w:p>
    <w:p>
      <w:pPr>
        <w:numPr>
          <w:ilvl w:val="0"/>
          <w:numId w:val="1006"/>
        </w:numPr>
        <w:pStyle w:val="Compact"/>
      </w:pPr>
      <w:r>
        <w:t xml:space="preserve">Analyze data and compare results with expected outcomes.</w:t>
      </w:r>
    </w:p>
    <w:p>
      <w:pPr>
        <w:numPr>
          <w:ilvl w:val="0"/>
          <w:numId w:val="1006"/>
        </w:numPr>
        <w:pStyle w:val="Compact"/>
      </w:pPr>
      <w:r>
        <w:t xml:space="preserve">Document any deviations or issues encountered during the experiment.</w:t>
      </w:r>
    </w:p>
    <w:bookmarkEnd w:id="28"/>
    <w:bookmarkEnd w:id="29"/>
    <w:bookmarkStart w:id="30" w:name="data-management"/>
    <w:p>
      <w:pPr>
        <w:pStyle w:val="Heading2"/>
      </w:pPr>
      <w:r>
        <w:t xml:space="preserve">7. Data Management</w:t>
      </w:r>
    </w:p>
    <w:p>
      <w:pPr>
        <w:pStyle w:val="FirstParagraph"/>
      </w:pPr>
      <w:r>
        <w:t xml:space="preserve">All experimental data must be:</w:t>
      </w:r>
    </w:p>
    <w:p>
      <w:pPr>
        <w:numPr>
          <w:ilvl w:val="0"/>
          <w:numId w:val="1007"/>
        </w:numPr>
        <w:pStyle w:val="Compact"/>
      </w:pPr>
      <w:r>
        <w:t xml:space="preserve">Stored securely in a centralized database accessible only to authorized personnel.</w:t>
      </w:r>
    </w:p>
    <w:p>
      <w:pPr>
        <w:numPr>
          <w:ilvl w:val="0"/>
          <w:numId w:val="1007"/>
        </w:numPr>
        <w:pStyle w:val="Compact"/>
      </w:pPr>
      <w:r>
        <w:t xml:space="preserve">Labeled clearly with experiment ID, date, and responsible engineer.</w:t>
      </w:r>
    </w:p>
    <w:p>
      <w:pPr>
        <w:numPr>
          <w:ilvl w:val="0"/>
          <w:numId w:val="1007"/>
        </w:numPr>
        <w:pStyle w:val="Compact"/>
      </w:pPr>
      <w:r>
        <w:t xml:space="preserve">Backed up regularly to prevent data loss.</w:t>
      </w:r>
    </w:p>
    <w:p>
      <w:pPr>
        <w:numPr>
          <w:ilvl w:val="0"/>
          <w:numId w:val="1007"/>
        </w:numPr>
        <w:pStyle w:val="Compact"/>
      </w:pPr>
      <w:r>
        <w:t xml:space="preserve">Retained for a minimum of five years as per Malaysian regulatory requirements.</w:t>
      </w:r>
    </w:p>
    <w:bookmarkEnd w:id="30"/>
    <w:bookmarkStart w:id="31" w:name="compliance-and-reporting"/>
    <w:p>
      <w:pPr>
        <w:pStyle w:val="Heading2"/>
      </w:pPr>
      <w:r>
        <w:t xml:space="preserve">8. Compliance and Reporting</w:t>
      </w:r>
    </w:p>
    <w:p>
      <w:pPr>
        <w:pStyle w:val="FirstParagraph"/>
      </w:pPr>
      <w:r>
        <w:t xml:space="preserve">This protocol must be reviewed and approved by the Lab Supervisor and Safety Officer before any experiment begins. Any deviations from the protocol must be documented and justified. Regular audits will be conducted to ensure compliance with this protocol and relevant Malaysian standards.</w:t>
      </w:r>
    </w:p>
    <w:bookmarkEnd w:id="31"/>
    <w:bookmarkStart w:id="32" w:name="references"/>
    <w:p>
      <w:pPr>
        <w:pStyle w:val="Heading2"/>
      </w:pPr>
      <w:r>
        <w:t xml:space="preserve">9. References</w:t>
      </w:r>
    </w:p>
    <w:p>
      <w:pPr>
        <w:numPr>
          <w:ilvl w:val="0"/>
          <w:numId w:val="1008"/>
        </w:numPr>
        <w:pStyle w:val="Compact"/>
      </w:pPr>
      <w:r>
        <w:t xml:space="preserve">Department of Occupational Safety and Health (DOSH) Malaysia Guidelines.</w:t>
      </w:r>
    </w:p>
    <w:p>
      <w:pPr>
        <w:numPr>
          <w:ilvl w:val="0"/>
          <w:numId w:val="1008"/>
        </w:numPr>
        <w:pStyle w:val="Compact"/>
      </w:pPr>
      <w:r>
        <w:t xml:space="preserve">ISO 9001:2015 - Quality Management Systems.</w:t>
      </w:r>
    </w:p>
    <w:p>
      <w:pPr>
        <w:numPr>
          <w:ilvl w:val="0"/>
          <w:numId w:val="1008"/>
        </w:numPr>
        <w:pStyle w:val="Compact"/>
      </w:pPr>
      <w:r>
        <w:t xml:space="preserve">IEEE Standards for Mechatronics Systems.</w:t>
      </w:r>
    </w:p>
    <w:bookmarkEnd w:id="32"/>
    <w:p>
      <w:pPr>
        <w:pStyle w:val="FirstParagraph"/>
      </w:pPr>
      <w:r>
        <w:rPr>
          <w:bCs/>
          <w:b/>
        </w:rPr>
        <w:t xml:space="preserve">Prepared by:</w:t>
      </w:r>
      <w:r>
        <w:t xml:space="preserve"> </w:t>
      </w:r>
      <w:r>
        <w:t xml:space="preserve">[Name], Mechatronics Engineer</w:t>
      </w:r>
    </w:p>
    <w:p>
      <w:pPr>
        <w:pStyle w:val="BodyText"/>
      </w:pPr>
      <w:r>
        <w:rPr>
          <w:bCs/>
          <w:b/>
        </w:rPr>
        <w:t xml:space="preserve">Reviewed by:</w:t>
      </w:r>
      <w:r>
        <w:t xml:space="preserve"> </w:t>
      </w:r>
      <w:r>
        <w:t xml:space="preserve">[Name], Lab Supervisor</w:t>
      </w:r>
    </w:p>
    <w:p>
      <w:pPr>
        <w:pStyle w:val="BodyText"/>
      </w:pPr>
      <w:r>
        <w:rPr>
          <w:bCs/>
          <w:b/>
        </w:rPr>
        <w:t xml:space="preserve">Approved by:</w:t>
      </w:r>
      <w:r>
        <w:t xml:space="preserve"> </w:t>
      </w:r>
      <w:r>
        <w:t xml:space="preserve">[Name], Safety Officer</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Kuala Lumpur, Malaysia</dc:title>
  <dc:creator/>
  <dc:language>en</dc:language>
  <cp:keywords/>
  <dcterms:created xsi:type="dcterms:W3CDTF">2026-10-10T05:03:49Z</dcterms:created>
  <dcterms:modified xsi:type="dcterms:W3CDTF">2026-10-10T05:03:49Z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