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Assessment</w:t>
      </w:r>
      <w:r>
        <w:t xml:space="preserve"> </w:t>
      </w:r>
      <w:r>
        <w:t xml:space="preserve">-</w:t>
      </w:r>
      <w:r>
        <w:t xml:space="preserve"> </w:t>
      </w:r>
      <w:r>
        <w:t xml:space="preserve">Amsterdam,</w:t>
      </w:r>
      <w:r>
        <w:t xml:space="preserve"> </w:t>
      </w:r>
      <w:r>
        <w:t xml:space="preserve">Netherlands</w:t>
      </w:r>
    </w:p>
    <w:bookmarkStart w:id="32" w:name="X5048a9765e7a862d2c04b8c016d006b790cbf3f"/>
    <w:p>
      <w:pPr>
        <w:pStyle w:val="Heading1"/>
      </w:pPr>
      <w:r>
        <w:t xml:space="preserve">Experiment Protocol: Advanced Mechatronics System Integration</w:t>
      </w:r>
    </w:p>
    <w:p>
      <w:pPr>
        <w:pStyle w:val="FirstParagraph"/>
      </w:pPr>
      <w:r>
        <w:rPr>
          <w:bCs/>
          <w:b/>
        </w:rPr>
        <w:t xml:space="preserve">Location:</w:t>
      </w:r>
      <w:r>
        <w:t xml:space="preserve"> </w:t>
      </w:r>
      <w:r>
        <w:t xml:space="preserve">Technical Innovation Hub, Amsterdam, Netherlands</w:t>
      </w:r>
    </w:p>
    <w:p>
      <w:pPr>
        <w:pStyle w:val="BodyText"/>
      </w:pPr>
      <w:r>
        <w:rPr>
          <w:bCs/>
          <w:b/>
        </w:rPr>
        <w:t xml:space="preserve">Target Role:</w:t>
      </w:r>
      <w:r>
        <w:t xml:space="preserve"> </w:t>
      </w:r>
      <w:r>
        <w:t xml:space="preserve">Mechatronics Engineer</w:t>
      </w:r>
    </w:p>
    <w:p>
      <w:pPr>
        <w:pStyle w:val="BodyText"/>
      </w:pPr>
      <w:r>
        <w:rPr>
          <w:bCs/>
          <w:b/>
        </w:rPr>
        <w:t xml:space="preserve">Protocol ID:</w:t>
      </w:r>
      <w:r>
        <w:t xml:space="preserve"> </w:t>
      </w:r>
      <w:r>
        <w:t xml:space="preserve">AMST-MECH-2024-001</w:t>
      </w:r>
    </w:p>
    <w:p>
      <w:pPr>
        <w:pStyle w:val="BodyText"/>
      </w:pPr>
      <w:r>
        <w:rPr>
          <w:bCs/>
          <w:b/>
        </w:rPr>
        <w:t xml:space="preserve">Date:</w:t>
      </w:r>
      <w:r>
        <w:t xml:space="preserve"> </w:t>
      </w:r>
      <w:r>
        <w:t xml:space="preserve">October 24, 2024</w:t>
      </w:r>
    </w:p>
    <w:p>
      <w:pPr>
        <w:pStyle w:val="BodyText"/>
      </w:pPr>
      <w:r>
        <w:rPr>
          <w:bCs/>
          <w:b/>
        </w:rPr>
        <w:t xml:space="preserve">Compliance:</w:t>
      </w:r>
      <w:r>
        <w:t xml:space="preserve"> </w:t>
      </w:r>
      <w:r>
        <w:t xml:space="preserve">Dutch Working Conditions Act (Arbowet) &amp; ISO 9001 Standards</w:t>
      </w:r>
    </w:p>
    <w:bookmarkStart w:id="20" w:name="introduction-and-objective"/>
    <w:p>
      <w:pPr>
        <w:pStyle w:val="Heading2"/>
      </w:pPr>
      <w:r>
        <w:t xml:space="preserve">1. Introduction and Objective</w:t>
      </w:r>
    </w:p>
    <w:p>
      <w:pPr>
        <w:pStyle w:val="FirstParagraph"/>
      </w:pPr>
      <w:r>
        <w:t xml:space="preserve">This Experiment Protocol outlines the standardized procedure for evaluating the technical competencies of a candidate Mechatronics Engineer within the context of the high-tech industry in Amsterdam, Netherlands. The primary objective is to assess the candidate's ability to design, integrate, and troubleshoot complex electromechanical systems under controlled laboratory conditions.</w:t>
      </w:r>
    </w:p>
    <w:p>
      <w:pPr>
        <w:pStyle w:val="BodyText"/>
      </w:pPr>
      <w:r>
        <w:t xml:space="preserve">Given Amsterdam's status as a global hub for robotics, automation, and sustainable technology, this protocol emphasizes precision, safety, and interdisciplinary problem-solving. The experiment simulates a real-world scenario where a Mechatronics Engineer must optimize a robotic assembly line component for energy efficiency and operational speed, adhering to strict European Union safety regulations.</w:t>
      </w:r>
    </w:p>
    <w:bookmarkEnd w:id="20"/>
    <w:bookmarkStart w:id="21" w:name="scope-and-responsibilities"/>
    <w:p>
      <w:pPr>
        <w:pStyle w:val="Heading2"/>
      </w:pPr>
      <w:r>
        <w:t xml:space="preserve">2. Scope and Responsibilities</w:t>
      </w:r>
    </w:p>
    <w:p>
      <w:pPr>
        <w:pStyle w:val="FirstParagraph"/>
      </w:pPr>
      <w:r>
        <w:t xml:space="preserve">This protocol applies to all candidates undergoing the technical assessment phase for the Mechatronics Engineer position. The scope includes hardware assembly, embedded software programming, sensor calibration, and system diagnostics.</w:t>
      </w:r>
    </w:p>
    <w:p>
      <w:pPr>
        <w:numPr>
          <w:ilvl w:val="0"/>
          <w:numId w:val="1001"/>
        </w:numPr>
        <w:pStyle w:val="Compact"/>
      </w:pPr>
      <w:r>
        <w:rPr>
          <w:bCs/>
          <w:b/>
        </w:rPr>
        <w:t xml:space="preserve">Lead Assessor:</w:t>
      </w:r>
      <w:r>
        <w:t xml:space="preserve"> </w:t>
      </w:r>
      <w:r>
        <w:t xml:space="preserve">Responsible for overseeing the experiment, ensuring safety compliance, and evaluating performance.</w:t>
      </w:r>
    </w:p>
    <w:p>
      <w:pPr>
        <w:numPr>
          <w:ilvl w:val="0"/>
          <w:numId w:val="1001"/>
        </w:numPr>
        <w:pStyle w:val="Compact"/>
      </w:pPr>
      <w:r>
        <w:rPr>
          <w:bCs/>
          <w:b/>
        </w:rPr>
        <w:t xml:space="preserve">Candidate (Mechatronics Engineer):</w:t>
      </w:r>
      <w:r>
        <w:t xml:space="preserve"> </w:t>
      </w:r>
      <w:r>
        <w:t xml:space="preserve">Responsible for executing the experimental tasks, documenting findings, and adhering to safety protocols.</w:t>
      </w:r>
    </w:p>
    <w:p>
      <w:pPr>
        <w:numPr>
          <w:ilvl w:val="0"/>
          <w:numId w:val="1001"/>
        </w:numPr>
        <w:pStyle w:val="Compact"/>
      </w:pPr>
      <w:r>
        <w:rPr>
          <w:bCs/>
          <w:b/>
        </w:rPr>
        <w:t xml:space="preserve">Safety Officer:</w:t>
      </w:r>
      <w:r>
        <w:t xml:space="preserve"> </w:t>
      </w:r>
      <w:r>
        <w:t xml:space="preserve">Ensures that all activities comply with the Dutch Working Conditions Act (Arbowet) and local Amsterdam municipal safety guidelines.</w:t>
      </w:r>
    </w:p>
    <w:bookmarkEnd w:id="21"/>
    <w:bookmarkStart w:id="22" w:name="equipment-and-materials"/>
    <w:p>
      <w:pPr>
        <w:pStyle w:val="Heading2"/>
      </w:pPr>
      <w:r>
        <w:t xml:space="preserve">3. Equipment and Materials</w:t>
      </w:r>
    </w:p>
    <w:p>
      <w:pPr>
        <w:pStyle w:val="FirstParagraph"/>
      </w:pPr>
      <w:r>
        <w:t xml:space="preserve">The following equipment will be utilized during the experiment. All devices must be calibrated according to ISO standards prior to the start of the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Industrial Robotic Arm</w:t>
            </w:r>
          </w:p>
        </w:tc>
        <w:tc>
          <w:tcPr/>
          <w:p>
            <w:pPr>
              <w:pStyle w:val="Compact"/>
              <w:jc w:val="left"/>
            </w:pPr>
            <w:r>
              <w:t xml:space="preserve">6-Axis, Payload 5kg, IP67 Rated</w:t>
            </w:r>
          </w:p>
        </w:tc>
        <w:tc>
          <w:tcPr/>
          <w:p>
            <w:pPr>
              <w:pStyle w:val="Compact"/>
              <w:jc w:val="left"/>
            </w:pPr>
            <w:r>
              <w:t xml:space="preserve">1</w:t>
            </w:r>
          </w:p>
        </w:tc>
      </w:tr>
      <w:tr>
        <w:tc>
          <w:tcPr/>
          <w:p>
            <w:pPr>
              <w:pStyle w:val="Compact"/>
              <w:jc w:val="left"/>
            </w:pPr>
            <w:r>
              <w:t xml:space="preserve">PLC Controller</w:t>
            </w:r>
          </w:p>
        </w:tc>
        <w:tc>
          <w:tcPr/>
          <w:p>
            <w:pPr>
              <w:pStyle w:val="Compact"/>
              <w:jc w:val="left"/>
            </w:pPr>
            <w:r>
              <w:t xml:space="preserve">Siemens S7-1200 or equivalent</w:t>
            </w:r>
          </w:p>
        </w:tc>
        <w:tc>
          <w:tcPr/>
          <w:p>
            <w:pPr>
              <w:pStyle w:val="Compact"/>
              <w:jc w:val="left"/>
            </w:pPr>
            <w:r>
              <w:t xml:space="preserve">1</w:t>
            </w:r>
          </w:p>
        </w:tc>
      </w:tr>
      <w:tr>
        <w:tc>
          <w:tcPr/>
          <w:p>
            <w:pPr>
              <w:pStyle w:val="Compact"/>
              <w:jc w:val="left"/>
            </w:pPr>
            <w:r>
              <w:t xml:space="preserve">Sensor Array</w:t>
            </w:r>
          </w:p>
        </w:tc>
        <w:tc>
          <w:tcPr/>
          <w:p>
            <w:pPr>
              <w:pStyle w:val="Compact"/>
              <w:jc w:val="left"/>
            </w:pPr>
            <w:r>
              <w:t xml:space="preserve">Laser distance, torque, and temperature sensors</w:t>
            </w:r>
          </w:p>
        </w:tc>
        <w:tc>
          <w:tcPr/>
          <w:p>
            <w:pPr>
              <w:pStyle w:val="Compact"/>
              <w:jc w:val="left"/>
            </w:pPr>
            <w:r>
              <w:t xml:space="preserve">3</w:t>
            </w:r>
          </w:p>
        </w:tc>
      </w:tr>
      <w:tr>
        <w:tc>
          <w:tcPr/>
          <w:p>
            <w:pPr>
              <w:pStyle w:val="Compact"/>
              <w:jc w:val="left"/>
            </w:pPr>
            <w:r>
              <w:t xml:space="preserve">Power Supply Unit</w:t>
            </w:r>
          </w:p>
        </w:tc>
        <w:tc>
          <w:tcPr/>
          <w:p>
            <w:pPr>
              <w:pStyle w:val="Compact"/>
              <w:jc w:val="left"/>
            </w:pPr>
            <w:r>
              <w:t xml:space="preserve">24V DC, 10A, CE Certified</w:t>
            </w:r>
          </w:p>
        </w:tc>
        <w:tc>
          <w:tcPr/>
          <w:p>
            <w:pPr>
              <w:pStyle w:val="Compact"/>
              <w:jc w:val="left"/>
            </w:pPr>
            <w:r>
              <w:t xml:space="preserve">1</w:t>
            </w:r>
          </w:p>
        </w:tc>
      </w:tr>
      <w:tr>
        <w:tc>
          <w:tcPr/>
          <w:p>
            <w:pPr>
              <w:pStyle w:val="Compact"/>
              <w:jc w:val="left"/>
            </w:pPr>
            <w:r>
              <w:t xml:space="preserve">Diagnostic Laptop</w:t>
            </w:r>
          </w:p>
        </w:tc>
        <w:tc>
          <w:tcPr/>
          <w:p>
            <w:pPr>
              <w:pStyle w:val="Compact"/>
              <w:jc w:val="left"/>
            </w:pPr>
            <w:r>
              <w:t xml:space="preserve">Pre-installed with TIA Portal and Python IDE</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Safety glasses, anti-static wrist strap, closed-toe shoes</w:t>
            </w:r>
          </w:p>
        </w:tc>
        <w:tc>
          <w:tcPr/>
          <w:p>
            <w:pPr>
              <w:pStyle w:val="Compact"/>
              <w:jc w:val="left"/>
            </w:pPr>
            <w:r>
              <w:t xml:space="preserve">1 Set</w:t>
            </w:r>
          </w:p>
        </w:tc>
      </w:tr>
    </w:tbl>
    <w:bookmarkEnd w:id="22"/>
    <w:bookmarkStart w:id="23" w:name="safety-procedures"/>
    <w:p>
      <w:pPr>
        <w:pStyle w:val="Heading2"/>
      </w:pPr>
      <w:r>
        <w:t xml:space="preserve">4. Safety Procedures</w:t>
      </w:r>
    </w:p>
    <w:p>
      <w:pPr>
        <w:pStyle w:val="FirstParagraph"/>
      </w:pPr>
      <w:r>
        <w:t xml:space="preserve">Safety is paramount in this experiment. As this assessment takes place in Amsterdam, Netherlands, all procedures must strictly adhere to the Arbowet (Working Conditions Act). The following safety measures are mandatory:</w:t>
      </w:r>
    </w:p>
    <w:p>
      <w:pPr>
        <w:numPr>
          <w:ilvl w:val="0"/>
          <w:numId w:val="1002"/>
        </w:numPr>
        <w:pStyle w:val="Compact"/>
      </w:pPr>
      <w:r>
        <w:rPr>
          <w:bCs/>
          <w:b/>
        </w:rPr>
        <w:t xml:space="preserve">PPE Requirement:</w:t>
      </w:r>
      <w:r>
        <w:t xml:space="preserve"> </w:t>
      </w:r>
      <w:r>
        <w:t xml:space="preserve">The Mechatronics Engineer candidate must wear appropriate Personal Protective Equipment at all times within the laboratory.</w:t>
      </w:r>
    </w:p>
    <w:p>
      <w:pPr>
        <w:numPr>
          <w:ilvl w:val="0"/>
          <w:numId w:val="1002"/>
        </w:numPr>
        <w:pStyle w:val="Compact"/>
      </w:pPr>
      <w:r>
        <w:rPr>
          <w:bCs/>
          <w:b/>
        </w:rPr>
        <w:t xml:space="preserve">Lockout/Tagout (LOTO):</w:t>
      </w:r>
      <w:r>
        <w:t xml:space="preserve"> </w:t>
      </w:r>
      <w:r>
        <w:t xml:space="preserve">Before any physical modification to the robotic arm or electrical connections, the candidate must demonstrate proper LOTO procedures to prevent accidental energization.</w:t>
      </w:r>
    </w:p>
    <w:p>
      <w:pPr>
        <w:numPr>
          <w:ilvl w:val="0"/>
          <w:numId w:val="1002"/>
        </w:numPr>
        <w:pStyle w:val="Compact"/>
      </w:pPr>
      <w:r>
        <w:rPr>
          <w:bCs/>
          <w:b/>
        </w:rPr>
        <w:t xml:space="preserve">Emergency Stop:</w:t>
      </w:r>
      <w:r>
        <w:t xml:space="preserve"> </w:t>
      </w:r>
      <w:r>
        <w:t xml:space="preserve">The candidate must identify and test the Emergency Stop (E-Stop) buttons before initiating any automated sequences.</w:t>
      </w:r>
    </w:p>
    <w:p>
      <w:pPr>
        <w:numPr>
          <w:ilvl w:val="0"/>
          <w:numId w:val="1002"/>
        </w:numPr>
        <w:pStyle w:val="Compact"/>
      </w:pPr>
      <w:r>
        <w:rPr>
          <w:bCs/>
          <w:b/>
        </w:rPr>
        <w:t xml:space="preserve">Electrical Safety:</w:t>
      </w:r>
      <w:r>
        <w:t xml:space="preserve"> </w:t>
      </w:r>
      <w:r>
        <w:t xml:space="preserve">All wiring must comply with NEN 1010 standards for electrical installations. No live work is permitted without explicit authorization from the Lead Assessor.</w:t>
      </w:r>
    </w:p>
    <w:p>
      <w:pPr>
        <w:numPr>
          <w:ilvl w:val="0"/>
          <w:numId w:val="1002"/>
        </w:numPr>
        <w:pStyle w:val="Compact"/>
      </w:pPr>
      <w:r>
        <w:rPr>
          <w:bCs/>
          <w:b/>
        </w:rPr>
        <w:t xml:space="preserve">Environmental Controls:</w:t>
      </w:r>
      <w:r>
        <w:t xml:space="preserve"> </w:t>
      </w:r>
      <w:r>
        <w:t xml:space="preserve">Ensure that the laboratory temperature and humidity are within operational limits to prevent equipment malfunction.</w:t>
      </w:r>
    </w:p>
    <w:bookmarkEnd w:id="23"/>
    <w:bookmarkStart w:id="28" w:name="experimental-procedure"/>
    <w:p>
      <w:pPr>
        <w:pStyle w:val="Heading2"/>
      </w:pPr>
      <w:r>
        <w:t xml:space="preserve">5. Experimental Procedure</w:t>
      </w:r>
    </w:p>
    <w:bookmarkStart w:id="24" w:name="X81190d7fa0e4c9f1c9b32b49b3325aaf3905dce"/>
    <w:p>
      <w:pPr>
        <w:pStyle w:val="Heading3"/>
      </w:pPr>
      <w:r>
        <w:t xml:space="preserve">5.1 Phase 1: System Inspection and Calibration</w:t>
      </w:r>
    </w:p>
    <w:p>
      <w:pPr>
        <w:pStyle w:val="FirstParagraph"/>
      </w:pPr>
      <w:r>
        <w:t xml:space="preserve">The candidate will begin by inspecting the robotic arm and associated sensors. They must verify that all mechanical joints are lubricated and that there are no visible signs of wear or damage. Following the inspection, the candidate will calibrate the laser distance sensor to ensure accurate object detection within a tolerance of ±1mm.</w:t>
      </w:r>
    </w:p>
    <w:bookmarkEnd w:id="24"/>
    <w:bookmarkStart w:id="25" w:name="phase-2-integration-and-programming"/>
    <w:p>
      <w:pPr>
        <w:pStyle w:val="Heading3"/>
      </w:pPr>
      <w:r>
        <w:t xml:space="preserve">5.2 Phase 2: Integration and Programming</w:t>
      </w:r>
    </w:p>
    <w:p>
      <w:pPr>
        <w:pStyle w:val="FirstParagraph"/>
      </w:pPr>
      <w:r>
        <w:t xml:space="preserve">The core of the experiment involves programming the PLC to control the robotic arm. The Mechatronics Engineer must write a ladder logic program that enables the arm to pick up an object from Point A and place it at Point B without collision. The candidate must also integrate feedback from the torque sensor to adjust grip strength dynamically, preventing damage to fragile objects.</w:t>
      </w:r>
    </w:p>
    <w:p>
      <w:pPr>
        <w:pStyle w:val="BodyText"/>
      </w:pPr>
      <w:r>
        <w:t xml:space="preserve">This phase tests the candidate's proficiency in both hardware interfacing and software development, key skills for a Mechatronics Engineer operating in the advanced manufacturing sector of Amsterdam.</w:t>
      </w:r>
    </w:p>
    <w:bookmarkEnd w:id="25"/>
    <w:bookmarkStart w:id="26" w:name="phase-3-optimization-and-troubleshooting"/>
    <w:p>
      <w:pPr>
        <w:pStyle w:val="Heading3"/>
      </w:pPr>
      <w:r>
        <w:t xml:space="preserve">5.3 Phase 3: Optimization and Troubleshooting</w:t>
      </w:r>
    </w:p>
    <w:p>
      <w:pPr>
        <w:pStyle w:val="FirstParagraph"/>
      </w:pPr>
      <w:r>
        <w:t xml:space="preserve">Once the basic operation is functional, the Lead Assessor will introduce a simulated fault (e.g., sensor drift or communication error). The candidate must diagnose the issue using diagnostic tools and resolve it within a 15-minute timeframe. Subsequently, the candidate is tasked with optimizing the cycle time of the robotic arm by 10% while maintaining safety margins.</w:t>
      </w:r>
    </w:p>
    <w:bookmarkEnd w:id="26"/>
    <w:bookmarkStart w:id="27" w:name="phase-4-documentation-and-reporting"/>
    <w:p>
      <w:pPr>
        <w:pStyle w:val="Heading3"/>
      </w:pPr>
      <w:r>
        <w:t xml:space="preserve">5.4 Phase 4: Documentation and Reporting</w:t>
      </w:r>
    </w:p>
    <w:p>
      <w:pPr>
        <w:pStyle w:val="FirstParagraph"/>
      </w:pPr>
      <w:r>
        <w:t xml:space="preserve">The final phase requires the candidate to document their approach, including circuit diagrams, code snippets, and a brief analysis of the optimization results. Clear technical documentation is essential for collaboration in multinational engineering teams common in the Netherlands.</w:t>
      </w:r>
    </w:p>
    <w:bookmarkEnd w:id="27"/>
    <w:bookmarkEnd w:id="28"/>
    <w:bookmarkStart w:id="29" w:name="data-collection-and-evaluation-criteria"/>
    <w:p>
      <w:pPr>
        <w:pStyle w:val="Heading2"/>
      </w:pPr>
      <w:r>
        <w:t xml:space="preserve">6. Data Collection and Evaluation Criteria</w:t>
      </w:r>
    </w:p>
    <w:p>
      <w:pPr>
        <w:pStyle w:val="FirstParagraph"/>
      </w:pPr>
      <w:r>
        <w:t xml:space="preserve">The performance of the Mechatronics Engineer will be evaluated based on the following criteria:</w:t>
      </w:r>
    </w:p>
    <w:p>
      <w:pPr>
        <w:numPr>
          <w:ilvl w:val="0"/>
          <w:numId w:val="1003"/>
        </w:numPr>
        <w:pStyle w:val="Compact"/>
      </w:pPr>
      <w:r>
        <w:rPr>
          <w:bCs/>
          <w:b/>
        </w:rPr>
        <w:t xml:space="preserve">Safety Compliance (30%):</w:t>
      </w:r>
      <w:r>
        <w:t xml:space="preserve"> </w:t>
      </w:r>
      <w:r>
        <w:t xml:space="preserve">Adherence to Arbowet and laboratory safety protocols.</w:t>
      </w:r>
    </w:p>
    <w:p>
      <w:pPr>
        <w:numPr>
          <w:ilvl w:val="0"/>
          <w:numId w:val="1003"/>
        </w:numPr>
        <w:pStyle w:val="Compact"/>
      </w:pPr>
      <w:r>
        <w:rPr>
          <w:bCs/>
          <w:b/>
        </w:rPr>
        <w:t xml:space="preserve">Technical Accuracy (30%):</w:t>
      </w:r>
      <w:r>
        <w:t xml:space="preserve"> </w:t>
      </w:r>
      <w:r>
        <w:t xml:space="preserve">Correctness of calibration, programming, and system integration.</w:t>
      </w:r>
    </w:p>
    <w:p>
      <w:pPr>
        <w:numPr>
          <w:ilvl w:val="0"/>
          <w:numId w:val="1003"/>
        </w:numPr>
        <w:pStyle w:val="Compact"/>
      </w:pPr>
      <w:r>
        <w:rPr>
          <w:bCs/>
          <w:b/>
        </w:rPr>
        <w:t xml:space="preserve">Problem-Solving (20%):</w:t>
      </w:r>
      <w:r>
        <w:t xml:space="preserve"> </w:t>
      </w:r>
      <w:r>
        <w:t xml:space="preserve">Efficiency and logic in troubleshooting introduced faults.</w:t>
      </w:r>
    </w:p>
    <w:p>
      <w:pPr>
        <w:numPr>
          <w:ilvl w:val="0"/>
          <w:numId w:val="1003"/>
        </w:numPr>
        <w:pStyle w:val="Compact"/>
      </w:pPr>
      <w:r>
        <w:rPr>
          <w:bCs/>
          <w:b/>
        </w:rPr>
        <w:t xml:space="preserve">Optimization (10%):</w:t>
      </w:r>
      <w:r>
        <w:t xml:space="preserve"> </w:t>
      </w:r>
      <w:r>
        <w:t xml:space="preserve">Success in improving cycle time without compromising safety.</w:t>
      </w:r>
    </w:p>
    <w:p>
      <w:pPr>
        <w:numPr>
          <w:ilvl w:val="0"/>
          <w:numId w:val="1003"/>
        </w:numPr>
        <w:pStyle w:val="Compact"/>
      </w:pPr>
      <w:r>
        <w:rPr>
          <w:bCs/>
          <w:b/>
        </w:rPr>
        <w:t xml:space="preserve">Documentation (10%):</w:t>
      </w:r>
      <w:r>
        <w:t xml:space="preserve"> </w:t>
      </w:r>
      <w:r>
        <w:t xml:space="preserve">Clarity and completeness of technical reports.</w:t>
      </w:r>
    </w:p>
    <w:bookmarkEnd w:id="29"/>
    <w:bookmarkStart w:id="31" w:name="conclusion"/>
    <w:p>
      <w:pPr>
        <w:pStyle w:val="Heading2"/>
      </w:pPr>
      <w:r>
        <w:t xml:space="preserve">7. Conclusion</w:t>
      </w:r>
    </w:p>
    <w:p>
      <w:pPr>
        <w:pStyle w:val="FirstParagraph"/>
      </w:pPr>
      <w:r>
        <w:t xml:space="preserve">This Experiment Protocol provides a rigorous framework for assessing the capabilities of a Mechatronics Engineer candidate in Amsterdam, Netherlands. By combining practical tasks with strict safety and documentation requirements, this protocol ensures that only highly qualified professionals are selected for roles that contribute to the region's technological advancement.</w:t>
      </w:r>
    </w:p>
    <w:bookmarkStart w:id="30" w:name="approvals"/>
    <w:p>
      <w:pPr>
        <w:pStyle w:val="Heading3"/>
      </w:pPr>
      <w:r>
        <w:t xml:space="preserve">Approvals</w:t>
      </w:r>
    </w:p>
    <w:p>
      <w:pPr>
        <w:pStyle w:val="FirstParagraph"/>
      </w:pPr>
      <w:r>
        <w:rPr>
          <w:bCs/>
          <w:b/>
        </w:rPr>
        <w:t xml:space="preserve">Lead Assessor:</w:t>
      </w:r>
    </w:p>
    <w:p>
      <w:pPr>
        <w:pStyle w:val="BodyText"/>
      </w:pPr>
      <w:r>
        <w:t xml:space="preserve">Name: ________________________ Date: ________________________</w:t>
      </w:r>
    </w:p>
    <w:p>
      <w:pPr>
        <w:pStyle w:val="BodyText"/>
      </w:pPr>
      <w:r>
        <w:rPr>
          <w:bCs/>
          <w:b/>
        </w:rPr>
        <w:t xml:space="preserve">Safety Officer:</w:t>
      </w:r>
    </w:p>
    <w:p>
      <w:pPr>
        <w:pStyle w:val="BodyText"/>
      </w:pPr>
      <w:r>
        <w:t xml:space="preserve">Name: ________________________ Date: ________________________</w:t>
      </w:r>
    </w:p>
    <w:p>
      <w:pPr>
        <w:pStyle w:val="BodyText"/>
      </w:pPr>
      <w:r>
        <w:rPr>
          <w:bCs/>
          <w:b/>
        </w:rPr>
        <w:t xml:space="preserve">Candidate:</w:t>
      </w:r>
    </w:p>
    <w:p>
      <w:pPr>
        <w:pStyle w:val="BodyText"/>
      </w:pPr>
      <w:r>
        <w:t xml:space="preserve">Name: ________________________ Date: ________________________</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Assessment - Amsterdam, Netherlands</dc:title>
  <dc:creator/>
  <dc:language>en</dc:language>
  <cp:keywords/>
  <dcterms:created xsi:type="dcterms:W3CDTF">2026-10-10T05:39:23Z</dcterms:created>
  <dcterms:modified xsi:type="dcterms:W3CDTF">2026-10-10T05:39:23Z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