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31" w:name="Xa65a6a5e7701f8cc88fb7ccd54d8e7bf050c272"/>
    <w:p>
      <w:pPr>
        <w:pStyle w:val="Heading1"/>
      </w:pPr>
      <w:r>
        <w:t xml:space="preserve">Experiment Protocol: Advanced Mechatronic System Integration</w:t>
      </w:r>
    </w:p>
    <w:p>
      <w:pPr>
        <w:pStyle w:val="FirstParagraph"/>
      </w:pPr>
      <w:r>
        <w:rPr>
          <w:bCs/>
          <w:b/>
        </w:rPr>
        <w:t xml:space="preserve">Location:</w:t>
      </w:r>
      <w:r>
        <w:t xml:space="preserve"> </w:t>
      </w:r>
      <w:r>
        <w:t xml:space="preserve">Auckland, New Zealand</w:t>
      </w:r>
    </w:p>
    <w:p>
      <w:pPr>
        <w:pStyle w:val="BodyText"/>
      </w:pPr>
      <w:r>
        <w:rPr>
          <w:bCs/>
          <w:b/>
        </w:rPr>
        <w:t xml:space="preserve">Role:</w:t>
      </w:r>
      <w:r>
        <w:t xml:space="preserve"> </w:t>
      </w:r>
      <w:r>
        <w:t xml:space="preserve">Mechatronics Engineer</w:t>
      </w:r>
    </w:p>
    <w:p>
      <w:pPr>
        <w:pStyle w:val="BodyText"/>
      </w:pPr>
      <w:r>
        <w:rPr>
          <w:bCs/>
          <w:b/>
        </w:rPr>
        <w:t xml:space="preserve">Document Type:</w:t>
      </w:r>
      <w:r>
        <w:t xml:space="preserve"> </w:t>
      </w:r>
      <w:r>
        <w:t xml:space="preserve">Experiment Protocol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and validating a novel autonomous robotic arm designed for precision manufacturing. This document is specifically tailored for the Mechatronics Engineer operating within the industrial and academic hubs of Auckland, New Zealand. The primary objective is to evaluate the system's kinematic accuracy, sensor fusion reliability, and real-time control responsiveness under conditions simulating local environmental variables.</w:t>
      </w:r>
    </w:p>
    <w:p>
      <w:pPr>
        <w:pStyle w:val="BodyText"/>
      </w:pPr>
      <w:r>
        <w:t xml:space="preserve">Given Auckland's reputation as a center for innovation in robotics and automation, this protocol adheres to the highest standards of engineering rigor. The Mechatronics Engineer is responsible for ensuring that the integration of mechanical structures, electronic control systems, and software algorithms meets both international ISO standards and specific New Zealand safety regulations.</w:t>
      </w:r>
    </w:p>
    <w:bookmarkEnd w:id="20"/>
    <w:bookmarkStart w:id="21" w:name="scope-and-applicability"/>
    <w:p>
      <w:pPr>
        <w:pStyle w:val="Heading2"/>
      </w:pPr>
      <w:r>
        <w:t xml:space="preserve">2. Scope and Applicability</w:t>
      </w:r>
    </w:p>
    <w:p>
      <w:pPr>
        <w:pStyle w:val="FirstParagraph"/>
      </w:pPr>
      <w:r>
        <w:t xml:space="preserve">This protocol applies to all experimental phases conducted at facilities in Auckland, including university laboratories and private R&amp;D centers. It covers the following subsystems:</w:t>
      </w:r>
    </w:p>
    <w:p>
      <w:pPr>
        <w:numPr>
          <w:ilvl w:val="0"/>
          <w:numId w:val="1001"/>
        </w:numPr>
        <w:pStyle w:val="Compact"/>
      </w:pPr>
      <w:r>
        <w:t xml:space="preserve">Mechanical actuation and structural integrity.</w:t>
      </w:r>
    </w:p>
    <w:p>
      <w:pPr>
        <w:numPr>
          <w:ilvl w:val="0"/>
          <w:numId w:val="1001"/>
        </w:numPr>
        <w:pStyle w:val="Compact"/>
      </w:pPr>
      <w:r>
        <w:t xml:space="preserve">Electronic sensing (LiDAR, IMU, and force-torque sensors).</w:t>
      </w:r>
    </w:p>
    <w:p>
      <w:pPr>
        <w:numPr>
          <w:ilvl w:val="0"/>
          <w:numId w:val="1001"/>
        </w:numPr>
        <w:pStyle w:val="Compact"/>
      </w:pPr>
      <w:r>
        <w:t xml:space="preserve">Embedded control systems and PLC integration.</w:t>
      </w:r>
    </w:p>
    <w:p>
      <w:pPr>
        <w:numPr>
          <w:ilvl w:val="0"/>
          <w:numId w:val="1001"/>
        </w:numPr>
        <w:pStyle w:val="Compact"/>
      </w:pPr>
      <w:r>
        <w:t xml:space="preserve">High-level path planning algorithms.</w:t>
      </w:r>
    </w:p>
    <w:p>
      <w:pPr>
        <w:pStyle w:val="FirstParagraph"/>
      </w:pPr>
      <w:r>
        <w:t xml:space="preserve">The Mechatronics Engineer must ensure that all components are calibrated according to the manufacturer's specifications and that the experimental setup complies with the Health and Safety at Work Act 2015.</w:t>
      </w:r>
    </w:p>
    <w:bookmarkEnd w:id="21"/>
    <w:bookmarkStart w:id="22" w:name="X5be14dfec87e0556660d60f5b91a3064e196e95"/>
    <w:p>
      <w:pPr>
        <w:pStyle w:val="Heading2"/>
      </w:pPr>
      <w:r>
        <w:t xml:space="preserve">3. Safety and Compliance (New Zealand Context)</w:t>
      </w:r>
    </w:p>
    <w:p>
      <w:pPr>
        <w:pStyle w:val="FirstParagraph"/>
      </w:pPr>
      <w:r>
        <w:t xml:space="preserve">Safety is paramount in this Experiment Protocol. The Mechatronics Engineer must adhere to the following safety measures specific to the Auckland region:</w:t>
      </w:r>
    </w:p>
    <w:p>
      <w:pPr>
        <w:numPr>
          <w:ilvl w:val="0"/>
          <w:numId w:val="1002"/>
        </w:numPr>
        <w:pStyle w:val="Compact"/>
      </w:pPr>
      <w:r>
        <w:rPr>
          <w:bCs/>
          <w:b/>
        </w:rPr>
        <w:t xml:space="preserve">Electrical Safety:</w:t>
      </w:r>
      <w:r>
        <w:t xml:space="preserve"> </w:t>
      </w:r>
      <w:r>
        <w:t xml:space="preserve">All equipment must be compliant with AS/NZS 3000 (Wiring Rules). Ensure that all high-voltage components are properly insulated and grounded.</w:t>
      </w:r>
    </w:p>
    <w:p>
      <w:pPr>
        <w:numPr>
          <w:ilvl w:val="0"/>
          <w:numId w:val="1002"/>
        </w:numPr>
        <w:pStyle w:val="Compact"/>
      </w:pPr>
      <w:r>
        <w:rPr>
          <w:bCs/>
          <w:b/>
        </w:rPr>
        <w:t xml:space="preserve">Mechanical Safety:</w:t>
      </w:r>
      <w:r>
        <w:t xml:space="preserve"> </w:t>
      </w:r>
      <w:r>
        <w:t xml:space="preserve">Install physical barriers and emergency stop buttons within easy reach. The workspace must be clearly marked with hazard signage.</w:t>
      </w:r>
    </w:p>
    <w:p>
      <w:pPr>
        <w:numPr>
          <w:ilvl w:val="0"/>
          <w:numId w:val="1002"/>
        </w:numPr>
        <w:pStyle w:val="Compact"/>
      </w:pPr>
      <w:r>
        <w:rPr>
          <w:bCs/>
          <w:b/>
        </w:rPr>
        <w:t xml:space="preserve">Environmental Considerations:</w:t>
      </w:r>
      <w:r>
        <w:t xml:space="preserve"> </w:t>
      </w:r>
      <w:r>
        <w:t xml:space="preserve">Auckland's coastal climate can introduce humidity and salt air. The Mechatronics Engineer must verify that all electronic enclosures have an IP rating suitable for these conditions to prevent corrosion and short circuits.</w:t>
      </w:r>
    </w:p>
    <w:p>
      <w:pPr>
        <w:numPr>
          <w:ilvl w:val="0"/>
          <w:numId w:val="1002"/>
        </w:numPr>
        <w:pStyle w:val="Compact"/>
      </w:pPr>
      <w:r>
        <w:rPr>
          <w:bCs/>
          <w:b/>
        </w:rPr>
        <w:t xml:space="preserve">Personal Protective Equipment (PPE):</w:t>
      </w:r>
      <w:r>
        <w:t xml:space="preserve"> </w:t>
      </w:r>
      <w:r>
        <w:t xml:space="preserve">Safety glasses, steel-toed boots, and hearing protection are mandatory during high-noise or high-speed testing phases.</w:t>
      </w:r>
    </w:p>
    <w:bookmarkEnd w:id="22"/>
    <w:bookmarkStart w:id="23" w:name="equipment-and-materials"/>
    <w:p>
      <w:pPr>
        <w:pStyle w:val="Heading2"/>
      </w:pPr>
      <w:r>
        <w:t xml:space="preserve">4. Equipment and Materials</w:t>
      </w:r>
    </w:p>
    <w:p>
      <w:pPr>
        <w:pStyle w:val="FirstParagraph"/>
      </w:pPr>
      <w:r>
        <w:t xml:space="preserve">The following equipment is required for the execution of this Experiment Protocol:</w:t>
      </w:r>
    </w:p>
    <w:p>
      <w:pPr>
        <w:numPr>
          <w:ilvl w:val="0"/>
          <w:numId w:val="1003"/>
        </w:numPr>
        <w:pStyle w:val="Compact"/>
      </w:pPr>
      <w:r>
        <w:t xml:space="preserve">6-DOF Robotic Arm with integrated torque sensors.</w:t>
      </w:r>
    </w:p>
    <w:p>
      <w:pPr>
        <w:numPr>
          <w:ilvl w:val="0"/>
          <w:numId w:val="1003"/>
        </w:numPr>
        <w:pStyle w:val="Compact"/>
      </w:pPr>
      <w:r>
        <w:t xml:space="preserve">Real-time Industrial PC running ROS (Robot Operating System).</w:t>
      </w:r>
    </w:p>
    <w:p>
      <w:pPr>
        <w:numPr>
          <w:ilvl w:val="0"/>
          <w:numId w:val="1003"/>
        </w:numPr>
        <w:pStyle w:val="Compact"/>
      </w:pPr>
      <w:r>
        <w:t xml:space="preserve">High-precision motion capture system for ground truth data.</w:t>
      </w:r>
    </w:p>
    <w:p>
      <w:pPr>
        <w:numPr>
          <w:ilvl w:val="0"/>
          <w:numId w:val="1003"/>
        </w:numPr>
        <w:pStyle w:val="Compact"/>
      </w:pPr>
      <w:r>
        <w:t xml:space="preserve">Calibration tools (laser tracker, dial indicators).</w:t>
      </w:r>
    </w:p>
    <w:p>
      <w:pPr>
        <w:numPr>
          <w:ilvl w:val="0"/>
          <w:numId w:val="1003"/>
        </w:numPr>
        <w:pStyle w:val="Compact"/>
      </w:pPr>
      <w:r>
        <w:t xml:space="preserve">Data acquisition system (DAQ) for logging sensor data.</w:t>
      </w:r>
    </w:p>
    <w:p>
      <w:pPr>
        <w:pStyle w:val="FirstParagraph"/>
      </w:pPr>
      <w:r>
        <w:t xml:space="preserve">All equipment must be inspected by the Mechatronics Engineer prior to the start of the experiment to ensure functionality and safety.</w:t>
      </w:r>
    </w:p>
    <w:bookmarkEnd w:id="23"/>
    <w:bookmarkStart w:id="27" w:name="experimental-procedure"/>
    <w:p>
      <w:pPr>
        <w:pStyle w:val="Heading2"/>
      </w:pPr>
      <w:r>
        <w:t xml:space="preserve">5. Experimental Procedure</w:t>
      </w:r>
    </w:p>
    <w:bookmarkStart w:id="24" w:name="system-initialization"/>
    <w:p>
      <w:pPr>
        <w:pStyle w:val="Heading3"/>
      </w:pPr>
      <w:r>
        <w:t xml:space="preserve">5.1 System Initialization</w:t>
      </w:r>
    </w:p>
    <w:p>
      <w:pPr>
        <w:pStyle w:val="FirstParagraph"/>
      </w:pPr>
      <w:r>
        <w:t xml:space="preserve">The Mechatronics Engineer shall power on the system in the following sequence: Power Supply -&gt; Controller -&gt; Sensors -&gt; End-Effector. Verify that all communication buses (CAN, Ethernet) are active and error-free.</w:t>
      </w:r>
    </w:p>
    <w:bookmarkEnd w:id="24"/>
    <w:bookmarkStart w:id="25" w:name="calibration"/>
    <w:p>
      <w:pPr>
        <w:pStyle w:val="Heading3"/>
      </w:pPr>
      <w:r>
        <w:t xml:space="preserve">5.2 Calibration</w:t>
      </w:r>
    </w:p>
    <w:p>
      <w:pPr>
        <w:pStyle w:val="FirstParagraph"/>
      </w:pPr>
      <w:r>
        <w:t xml:space="preserve">Perform a full kinematic calibration using the laser tracker. This step is critical for ensuring the accuracy of the robotic arm. The Mechatronics Engineer must record the calibration parameters and compare them against the baseline values.</w:t>
      </w:r>
    </w:p>
    <w:bookmarkEnd w:id="25"/>
    <w:bookmarkStart w:id="26" w:name="test-execution"/>
    <w:p>
      <w:pPr>
        <w:pStyle w:val="Heading3"/>
      </w:pPr>
      <w:r>
        <w:t xml:space="preserve">5.3 Test Execution</w:t>
      </w:r>
    </w:p>
    <w:p>
      <w:pPr>
        <w:pStyle w:val="FirstParagraph"/>
      </w:pPr>
      <w:r>
        <w:t xml:space="preserve">Execute the following test scenarios:</w:t>
      </w:r>
    </w:p>
    <w:p>
      <w:pPr>
        <w:numPr>
          <w:ilvl w:val="0"/>
          <w:numId w:val="1004"/>
        </w:numPr>
        <w:pStyle w:val="Compact"/>
      </w:pPr>
      <w:r>
        <w:rPr>
          <w:bCs/>
          <w:b/>
        </w:rPr>
        <w:t xml:space="preserve">Static Accuracy Test:</w:t>
      </w:r>
      <w:r>
        <w:t xml:space="preserve"> </w:t>
      </w:r>
      <w:r>
        <w:t xml:space="preserve">Move the arm to predefined waypoints and measure the positional error.</w:t>
      </w:r>
    </w:p>
    <w:p>
      <w:pPr>
        <w:numPr>
          <w:ilvl w:val="0"/>
          <w:numId w:val="1004"/>
        </w:numPr>
        <w:pStyle w:val="Compact"/>
      </w:pPr>
      <w:r>
        <w:rPr>
          <w:bCs/>
          <w:b/>
        </w:rPr>
        <w:t xml:space="preserve">Dynamic Response Test:</w:t>
      </w:r>
      <w:r>
        <w:t xml:space="preserve"> </w:t>
      </w:r>
      <w:r>
        <w:t xml:space="preserve">Apply step inputs to the control system and measure the settling time and overshoot.</w:t>
      </w:r>
    </w:p>
    <w:p>
      <w:pPr>
        <w:numPr>
          <w:ilvl w:val="0"/>
          <w:numId w:val="1004"/>
        </w:numPr>
        <w:pStyle w:val="Compact"/>
      </w:pPr>
      <w:r>
        <w:rPr>
          <w:bCs/>
          <w:b/>
        </w:rPr>
        <w:t xml:space="preserve">Sensor Fusion Test:</w:t>
      </w:r>
      <w:r>
        <w:t xml:space="preserve"> </w:t>
      </w:r>
      <w:r>
        <w:t xml:space="preserve">Evaluate the system's ability to integrate data from multiple sensors to maintain stability under external disturbances.</w:t>
      </w:r>
    </w:p>
    <w:p>
      <w:pPr>
        <w:pStyle w:val="FirstParagraph"/>
      </w:pPr>
      <w:r>
        <w:t xml:space="preserve">Each test must be repeated at least five times to ensure statistical significance. The Mechatronics Engineer should document any anomalies or deviations from expected behavior.</w:t>
      </w:r>
    </w:p>
    <w:bookmarkEnd w:id="26"/>
    <w:bookmarkEnd w:id="27"/>
    <w:bookmarkStart w:id="28" w:name="data-collection-and-analysis"/>
    <w:p>
      <w:pPr>
        <w:pStyle w:val="Heading2"/>
      </w:pPr>
      <w:r>
        <w:t xml:space="preserve">6. Data Collection and Analysis</w:t>
      </w:r>
    </w:p>
    <w:p>
      <w:pPr>
        <w:pStyle w:val="FirstParagraph"/>
      </w:pPr>
      <w:r>
        <w:t xml:space="preserve">All data must be logged in real-time using the DAQ system. The Mechatronics Engineer is responsible for analyzing the data to determine:</w:t>
      </w:r>
    </w:p>
    <w:p>
      <w:pPr>
        <w:numPr>
          <w:ilvl w:val="0"/>
          <w:numId w:val="1005"/>
        </w:numPr>
        <w:pStyle w:val="Compact"/>
      </w:pPr>
      <w:r>
        <w:t xml:space="preserve">Positional accuracy and repeatability.</w:t>
      </w:r>
    </w:p>
    <w:p>
      <w:pPr>
        <w:numPr>
          <w:ilvl w:val="0"/>
          <w:numId w:val="1005"/>
        </w:numPr>
        <w:pStyle w:val="Compact"/>
      </w:pPr>
      <w:r>
        <w:t xml:space="preserve">Control system stability margins.</w:t>
      </w:r>
    </w:p>
    <w:p>
      <w:pPr>
        <w:numPr>
          <w:ilvl w:val="0"/>
          <w:numId w:val="1005"/>
        </w:numPr>
        <w:pStyle w:val="Compact"/>
      </w:pPr>
      <w:r>
        <w:t xml:space="preserve">Sensor noise levels and drift.</w:t>
      </w:r>
    </w:p>
    <w:p>
      <w:pPr>
        <w:pStyle w:val="FirstParagraph"/>
      </w:pPr>
      <w:r>
        <w:t xml:space="preserve">Data analysis should be performed using standard statistical methods. Results must be presented in a clear and concise format, including graphs and tables.</w:t>
      </w:r>
    </w:p>
    <w:bookmarkEnd w:id="28"/>
    <w:bookmarkStart w:id="29" w:name="reporting-and-documentation"/>
    <w:p>
      <w:pPr>
        <w:pStyle w:val="Heading2"/>
      </w:pPr>
      <w:r>
        <w:t xml:space="preserve">7. Reporting and Documentation</w:t>
      </w:r>
    </w:p>
    <w:p>
      <w:pPr>
        <w:pStyle w:val="FirstParagraph"/>
      </w:pPr>
      <w:r>
        <w:t xml:space="preserve">Upon completion of the experiment, the Mechatronics Engineer must prepare a comprehensive report. This report should include:</w:t>
      </w:r>
    </w:p>
    <w:p>
      <w:pPr>
        <w:numPr>
          <w:ilvl w:val="0"/>
          <w:numId w:val="1006"/>
        </w:numPr>
        <w:pStyle w:val="Compact"/>
      </w:pPr>
      <w:r>
        <w:t xml:space="preserve">Executive summary of findings.</w:t>
      </w:r>
    </w:p>
    <w:p>
      <w:pPr>
        <w:numPr>
          <w:ilvl w:val="0"/>
          <w:numId w:val="1006"/>
        </w:numPr>
        <w:pStyle w:val="Compact"/>
      </w:pPr>
      <w:r>
        <w:t xml:space="preserve">Detailed methodology and procedures.</w:t>
      </w:r>
    </w:p>
    <w:p>
      <w:pPr>
        <w:numPr>
          <w:ilvl w:val="0"/>
          <w:numId w:val="1006"/>
        </w:numPr>
        <w:pStyle w:val="Compact"/>
      </w:pPr>
      <w:r>
        <w:t xml:space="preserve">Data analysis and interpretation.</w:t>
      </w:r>
    </w:p>
    <w:p>
      <w:pPr>
        <w:numPr>
          <w:ilvl w:val="0"/>
          <w:numId w:val="1006"/>
        </w:numPr>
        <w:pStyle w:val="Compact"/>
      </w:pPr>
      <w:r>
        <w:t xml:space="preserve">Recommendations for system improvements.</w:t>
      </w:r>
    </w:p>
    <w:p>
      <w:pPr>
        <w:pStyle w:val="FirstParagraph"/>
      </w:pPr>
      <w:r>
        <w:t xml:space="preserve">The report must be submitted to the project manager and archived according to the organization's document control procedures. This documentation is vital for future reference and for demonstrating compliance with New Zealand engineering standards.</w:t>
      </w:r>
    </w:p>
    <w:bookmarkEnd w:id="29"/>
    <w:bookmarkStart w:id="30" w:name="conclusion"/>
    <w:p>
      <w:pPr>
        <w:pStyle w:val="Heading2"/>
      </w:pPr>
      <w:r>
        <w:t xml:space="preserve">8. Conclusion</w:t>
      </w:r>
    </w:p>
    <w:p>
      <w:pPr>
        <w:pStyle w:val="FirstParagraph"/>
      </w:pPr>
      <w:r>
        <w:t xml:space="preserve">This Experiment Protocol provides a robust framework for the Mechatronics Engineer to conduct rigorous testing of advanced robotic systems in Auckland, New Zealand. By adhering to these procedures, the engineer ensures the safety, reliability, and performance of the mechatronic system, contributing to the advancement of technology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Auckland, New Zealand</dc:title>
  <dc:creator/>
  <dc:language>en</dc:language>
  <cp:keywords/>
  <dcterms:created xsi:type="dcterms:W3CDTF">2026-10-10T05:11:22Z</dcterms:created>
  <dcterms:modified xsi:type="dcterms:W3CDTF">2026-10-10T05:11:22Z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