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experiments related to Mechatronics Engineering in Riyadh, Saudi Arabia. The protocol is designed to ensure safety, accuracy, and compliance with local regulations and international standards. It is intended for use by Mechatronics Engineers and related professionals working in research, development, and industrial applications.</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establish a standardized approach for conducting mechatronics experiments in Riyadh.</w:t>
      </w:r>
    </w:p>
    <w:p>
      <w:pPr>
        <w:numPr>
          <w:ilvl w:val="0"/>
          <w:numId w:val="1001"/>
        </w:numPr>
        <w:pStyle w:val="Compact"/>
      </w:pPr>
      <w:r>
        <w:t xml:space="preserve">To ensure the safety of personnel and equipment during experimental procedures.</w:t>
      </w:r>
    </w:p>
    <w:p>
      <w:pPr>
        <w:numPr>
          <w:ilvl w:val="0"/>
          <w:numId w:val="1001"/>
        </w:numPr>
        <w:pStyle w:val="Compact"/>
      </w:pPr>
      <w:r>
        <w:t xml:space="preserve">To maintain data integrity and reproducibility of results.</w:t>
      </w:r>
    </w:p>
    <w:p>
      <w:pPr>
        <w:numPr>
          <w:ilvl w:val="0"/>
          <w:numId w:val="1001"/>
        </w:numPr>
        <w:pStyle w:val="Compact"/>
      </w:pPr>
      <w:r>
        <w:t xml:space="preserve">To comply with Saudi Arabian regulations and industry standards.</w:t>
      </w:r>
    </w:p>
    <w:bookmarkEnd w:id="22"/>
    <w:bookmarkStart w:id="23" w:name="scope"/>
    <w:p>
      <w:pPr>
        <w:pStyle w:val="Heading2"/>
      </w:pPr>
      <w:r>
        <w:t xml:space="preserve">3. Scope</w:t>
      </w:r>
    </w:p>
    <w:p>
      <w:pPr>
        <w:pStyle w:val="FirstParagraph"/>
      </w:pPr>
      <w:r>
        <w:t xml:space="preserve">This protocol applies to all Mechatronics Engineers and support staff involved in experimental activities within Riyadh, Saudi Arabia. It covers the design, execution, monitoring, and documentation of experiments involving mechanical, electrical, and control systems.</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Design experiments, ensure safety compliance, collect and analyze data, document results.</w:t>
            </w:r>
          </w:p>
        </w:tc>
      </w:tr>
      <w:tr>
        <w:tc>
          <w:tcPr/>
          <w:p>
            <w:pPr>
              <w:pStyle w:val="Compact"/>
              <w:jc w:val="left"/>
            </w:pPr>
            <w:r>
              <w:t xml:space="preserve">Lab Supervisor</w:t>
            </w:r>
          </w:p>
        </w:tc>
        <w:tc>
          <w:tcPr/>
          <w:p>
            <w:pPr>
              <w:pStyle w:val="Compact"/>
              <w:jc w:val="left"/>
            </w:pPr>
            <w:r>
              <w:t xml:space="preserve">Oversee experimental activities, ensure adherence to protocols, manage resources.</w:t>
            </w:r>
          </w:p>
        </w:tc>
      </w:tr>
      <w:tr>
        <w:tc>
          <w:tcPr/>
          <w:p>
            <w:pPr>
              <w:pStyle w:val="Compact"/>
              <w:jc w:val="left"/>
            </w:pPr>
            <w:r>
              <w:t xml:space="preserve">Safety Officer</w:t>
            </w:r>
          </w:p>
        </w:tc>
        <w:tc>
          <w:tcPr/>
          <w:p>
            <w:pPr>
              <w:pStyle w:val="Compact"/>
              <w:jc w:val="left"/>
            </w:pPr>
            <w:r>
              <w:t xml:space="preserve">Conduct safety inspections, provide training, manage emergency procedures.</w:t>
            </w:r>
          </w:p>
        </w:tc>
      </w:tr>
    </w:tbl>
    <w:bookmarkEnd w:id="24"/>
    <w:bookmarkStart w:id="25" w:name="safety-procedures"/>
    <w:p>
      <w:pPr>
        <w:pStyle w:val="Heading2"/>
      </w:pPr>
      <w:r>
        <w:t xml:space="preserve">5. Safety Procedures</w:t>
      </w:r>
    </w:p>
    <w:p>
      <w:pPr>
        <w:pStyle w:val="FirstParagraph"/>
      </w:pPr>
      <w:r>
        <w:t xml:space="preserve">All personnel must adhere to the following safety procedures:</w:t>
      </w:r>
    </w:p>
    <w:p>
      <w:pPr>
        <w:numPr>
          <w:ilvl w:val="0"/>
          <w:numId w:val="1002"/>
        </w:numPr>
        <w:pStyle w:val="Compact"/>
      </w:pPr>
      <w:r>
        <w:t xml:space="preserve">Wear appropriate personal protective equipment (PPE) at all times.</w:t>
      </w:r>
    </w:p>
    <w:p>
      <w:pPr>
        <w:numPr>
          <w:ilvl w:val="0"/>
          <w:numId w:val="1002"/>
        </w:numPr>
        <w:pStyle w:val="Compact"/>
      </w:pPr>
      <w:r>
        <w:t xml:space="preserve">Ensure all equipment is properly grounded and insulated.</w:t>
      </w:r>
    </w:p>
    <w:p>
      <w:pPr>
        <w:numPr>
          <w:ilvl w:val="0"/>
          <w:numId w:val="1002"/>
        </w:numPr>
        <w:pStyle w:val="Compact"/>
      </w:pPr>
      <w:r>
        <w:t xml:space="preserve">Follow lockout/tagout procedures when working with electrical systems.</w:t>
      </w:r>
    </w:p>
    <w:p>
      <w:pPr>
        <w:numPr>
          <w:ilvl w:val="0"/>
          <w:numId w:val="1002"/>
        </w:numPr>
        <w:pStyle w:val="Compact"/>
      </w:pPr>
      <w:r>
        <w:t xml:space="preserve">Be familiar with emergency shutdown procedures and evacuation routes.</w:t>
      </w:r>
    </w:p>
    <w:p>
      <w:pPr>
        <w:numPr>
          <w:ilvl w:val="0"/>
          <w:numId w:val="1002"/>
        </w:numPr>
        <w:pStyle w:val="Compact"/>
      </w:pPr>
      <w:r>
        <w:t xml:space="preserve">Report any hazards or incidents immediately to the Safety Officer.</w:t>
      </w:r>
    </w:p>
    <w:p>
      <w:pPr>
        <w:pStyle w:val="FirstParagraph"/>
      </w:pPr>
      <w:r>
        <w:rPr>
          <w:bCs/>
          <w:b/>
        </w:rPr>
        <w:t xml:space="preserve">Note:</w:t>
      </w:r>
      <w:r>
        <w:t xml:space="preserve"> </w:t>
      </w:r>
      <w:r>
        <w:t xml:space="preserve">Compliance with Saudi Arabian labor laws and safety regulations is mandatory.</w:t>
      </w:r>
    </w:p>
    <w:bookmarkEnd w:id="25"/>
    <w:bookmarkStart w:id="26" w:name="experimental-setup"/>
    <w:p>
      <w:pPr>
        <w:pStyle w:val="Heading2"/>
      </w:pPr>
      <w:r>
        <w:t xml:space="preserve">6. Experimental Setup</w:t>
      </w:r>
    </w:p>
    <w:p>
      <w:pPr>
        <w:pStyle w:val="FirstParagraph"/>
      </w:pPr>
      <w:r>
        <w:t xml:space="preserve">The experimental setup should include:</w:t>
      </w:r>
    </w:p>
    <w:p>
      <w:pPr>
        <w:numPr>
          <w:ilvl w:val="0"/>
          <w:numId w:val="1003"/>
        </w:numPr>
        <w:pStyle w:val="Compact"/>
      </w:pPr>
      <w:r>
        <w:t xml:space="preserve">Mechanical components (e.g., actuators, sensors, structures).</w:t>
      </w:r>
    </w:p>
    <w:p>
      <w:pPr>
        <w:numPr>
          <w:ilvl w:val="0"/>
          <w:numId w:val="1003"/>
        </w:numPr>
        <w:pStyle w:val="Compact"/>
      </w:pPr>
      <w:r>
        <w:t xml:space="preserve">Electrical systems (e.g., power supplies, controllers, wiring).</w:t>
      </w:r>
    </w:p>
    <w:p>
      <w:pPr>
        <w:numPr>
          <w:ilvl w:val="0"/>
          <w:numId w:val="1003"/>
        </w:numPr>
        <w:pStyle w:val="Compact"/>
      </w:pPr>
      <w:r>
        <w:t xml:space="preserve">Control systems (e.g., PLCs, microcontrollers, software).</w:t>
      </w:r>
    </w:p>
    <w:p>
      <w:pPr>
        <w:numPr>
          <w:ilvl w:val="0"/>
          <w:numId w:val="1003"/>
        </w:numPr>
        <w:pStyle w:val="Compact"/>
      </w:pPr>
      <w:r>
        <w:t xml:space="preserve">Data acquisition systems for monitoring and recording.</w:t>
      </w:r>
    </w:p>
    <w:p>
      <w:pPr>
        <w:pStyle w:val="FirstParagraph"/>
      </w:pPr>
      <w:r>
        <w:t xml:space="preserve">All components must be calibrated and verified before use.</w:t>
      </w:r>
    </w:p>
    <w:bookmarkEnd w:id="26"/>
    <w:bookmarkStart w:id="27" w:name="procedure"/>
    <w:p>
      <w:pPr>
        <w:pStyle w:val="Heading2"/>
      </w:pPr>
      <w:r>
        <w:t xml:space="preserve">7. Procedure</w:t>
      </w:r>
    </w:p>
    <w:p>
      <w:pPr>
        <w:numPr>
          <w:ilvl w:val="0"/>
          <w:numId w:val="1004"/>
        </w:numPr>
        <w:pStyle w:val="Compact"/>
      </w:pPr>
      <w:r>
        <w:t xml:space="preserve">Review the experimental design and objectives.</w:t>
      </w:r>
    </w:p>
    <w:p>
      <w:pPr>
        <w:numPr>
          <w:ilvl w:val="0"/>
          <w:numId w:val="1004"/>
        </w:numPr>
        <w:pStyle w:val="Compact"/>
      </w:pPr>
      <w:r>
        <w:t xml:space="preserve">Prepare the workspace and ensure all safety measures are in place.</w:t>
      </w:r>
    </w:p>
    <w:p>
      <w:pPr>
        <w:numPr>
          <w:ilvl w:val="0"/>
          <w:numId w:val="1004"/>
        </w:numPr>
        <w:pStyle w:val="Compact"/>
      </w:pPr>
      <w:r>
        <w:t xml:space="preserve">Assemble and calibrate the experimental setup.</w:t>
      </w:r>
    </w:p>
    <w:p>
      <w:pPr>
        <w:numPr>
          <w:ilvl w:val="0"/>
          <w:numId w:val="1004"/>
        </w:numPr>
        <w:pStyle w:val="Compact"/>
      </w:pPr>
      <w:r>
        <w:t xml:space="preserve">Conduct preliminary tests to verify functionality.</w:t>
      </w:r>
    </w:p>
    <w:p>
      <w:pPr>
        <w:numPr>
          <w:ilvl w:val="0"/>
          <w:numId w:val="1004"/>
        </w:numPr>
        <w:pStyle w:val="Compact"/>
      </w:pPr>
      <w:r>
        <w:t xml:space="preserve">Execute the main experiment, recording all data systematically.</w:t>
      </w:r>
    </w:p>
    <w:p>
      <w:pPr>
        <w:numPr>
          <w:ilvl w:val="0"/>
          <w:numId w:val="1004"/>
        </w:numPr>
        <w:pStyle w:val="Compact"/>
      </w:pPr>
      <w:r>
        <w:t xml:space="preserve">Monitor the experiment for any anomalies or safety concerns.</w:t>
      </w:r>
    </w:p>
    <w:p>
      <w:pPr>
        <w:numPr>
          <w:ilvl w:val="0"/>
          <w:numId w:val="1004"/>
        </w:numPr>
        <w:pStyle w:val="Compact"/>
      </w:pPr>
      <w:r>
        <w:t xml:space="preserve">Shut down the system safely after completion.</w:t>
      </w:r>
    </w:p>
    <w:p>
      <w:pPr>
        <w:numPr>
          <w:ilvl w:val="0"/>
          <w:numId w:val="1004"/>
        </w:numPr>
        <w:pStyle w:val="Compact"/>
      </w:pPr>
      <w:r>
        <w:t xml:space="preserve">Document all observations, data, and any deviations from the protocol.</w:t>
      </w:r>
    </w:p>
    <w:bookmarkEnd w:id="27"/>
    <w:bookmarkStart w:id="28" w:name="data-management"/>
    <w:p>
      <w:pPr>
        <w:pStyle w:val="Heading2"/>
      </w:pPr>
      <w:r>
        <w:t xml:space="preserve">8. Data Management</w:t>
      </w:r>
    </w:p>
    <w:p>
      <w:pPr>
        <w:pStyle w:val="FirstParagraph"/>
      </w:pPr>
      <w:r>
        <w:t xml:space="preserve">Data collected during experiments must be:</w:t>
      </w:r>
    </w:p>
    <w:p>
      <w:pPr>
        <w:numPr>
          <w:ilvl w:val="0"/>
          <w:numId w:val="1005"/>
        </w:numPr>
        <w:pStyle w:val="Compact"/>
      </w:pPr>
      <w:r>
        <w:t xml:space="preserve">Accurate and complete.</w:t>
      </w:r>
    </w:p>
    <w:p>
      <w:pPr>
        <w:numPr>
          <w:ilvl w:val="0"/>
          <w:numId w:val="1005"/>
        </w:numPr>
        <w:pStyle w:val="Compact"/>
      </w:pPr>
      <w:r>
        <w:t xml:space="preserve">Stored securely in accordance with data protection regulations.</w:t>
      </w:r>
    </w:p>
    <w:p>
      <w:pPr>
        <w:numPr>
          <w:ilvl w:val="0"/>
          <w:numId w:val="1005"/>
        </w:numPr>
        <w:pStyle w:val="Compact"/>
      </w:pPr>
      <w:r>
        <w:t xml:space="preserve">Accessible only to authorized personnel.</w:t>
      </w:r>
    </w:p>
    <w:p>
      <w:pPr>
        <w:numPr>
          <w:ilvl w:val="0"/>
          <w:numId w:val="1005"/>
        </w:numPr>
        <w:pStyle w:val="Compact"/>
      </w:pPr>
      <w:r>
        <w:t xml:space="preserve">Backed up regularly to prevent loss.</w:t>
      </w:r>
    </w:p>
    <w:bookmarkEnd w:id="28"/>
    <w:bookmarkStart w:id="29" w:name="quality-assurance"/>
    <w:p>
      <w:pPr>
        <w:pStyle w:val="Heading2"/>
      </w:pPr>
      <w:r>
        <w:t xml:space="preserve">9. Quality Assurance</w:t>
      </w:r>
    </w:p>
    <w:p>
      <w:pPr>
        <w:pStyle w:val="FirstParagraph"/>
      </w:pPr>
      <w:r>
        <w:t xml:space="preserve">To ensure the quality of experimental results:</w:t>
      </w:r>
    </w:p>
    <w:p>
      <w:pPr>
        <w:numPr>
          <w:ilvl w:val="0"/>
          <w:numId w:val="1006"/>
        </w:numPr>
        <w:pStyle w:val="Compact"/>
      </w:pPr>
      <w:r>
        <w:t xml:space="preserve">Use validated methods and equipment.</w:t>
      </w:r>
    </w:p>
    <w:p>
      <w:pPr>
        <w:numPr>
          <w:ilvl w:val="0"/>
          <w:numId w:val="1006"/>
        </w:numPr>
        <w:pStyle w:val="Compact"/>
      </w:pPr>
      <w:r>
        <w:t xml:space="preserve">Perform regular calibration and maintenance.</w:t>
      </w:r>
    </w:p>
    <w:p>
      <w:pPr>
        <w:numPr>
          <w:ilvl w:val="0"/>
          <w:numId w:val="1006"/>
        </w:numPr>
        <w:pStyle w:val="Compact"/>
      </w:pPr>
      <w:r>
        <w:t xml:space="preserve">Conduct peer reviews of experimental designs and results.</w:t>
      </w:r>
    </w:p>
    <w:p>
      <w:pPr>
        <w:numPr>
          <w:ilvl w:val="0"/>
          <w:numId w:val="1006"/>
        </w:numPr>
        <w:pStyle w:val="Compact"/>
      </w:pPr>
      <w:r>
        <w:t xml:space="preserve">Maintain detailed records of all procedures and changes.</w:t>
      </w:r>
    </w:p>
    <w:bookmarkEnd w:id="29"/>
    <w:bookmarkStart w:id="30" w:name="compliance-and-regulations"/>
    <w:p>
      <w:pPr>
        <w:pStyle w:val="Heading2"/>
      </w:pPr>
      <w:r>
        <w:t xml:space="preserve">10. Compliance and Regulations</w:t>
      </w:r>
    </w:p>
    <w:p>
      <w:pPr>
        <w:pStyle w:val="FirstParagraph"/>
      </w:pPr>
      <w:r>
        <w:t xml:space="preserve">All experiments must comply with:</w:t>
      </w:r>
    </w:p>
    <w:p>
      <w:pPr>
        <w:numPr>
          <w:ilvl w:val="0"/>
          <w:numId w:val="1007"/>
        </w:numPr>
        <w:pStyle w:val="Compact"/>
      </w:pPr>
      <w:r>
        <w:t xml:space="preserve">Saudi Arabian standards and regulations.</w:t>
      </w:r>
    </w:p>
    <w:p>
      <w:pPr>
        <w:numPr>
          <w:ilvl w:val="0"/>
          <w:numId w:val="1007"/>
        </w:numPr>
        <w:pStyle w:val="Compact"/>
      </w:pPr>
      <w:r>
        <w:t xml:space="preserve">International standards (e.g., ISO, IEC) where applicable.</w:t>
      </w:r>
    </w:p>
    <w:p>
      <w:pPr>
        <w:numPr>
          <w:ilvl w:val="0"/>
          <w:numId w:val="1007"/>
        </w:numPr>
        <w:pStyle w:val="Compact"/>
      </w:pPr>
      <w:r>
        <w:t xml:space="preserve">Institutional policies and ethical guidelines.</w:t>
      </w:r>
    </w:p>
    <w:bookmarkEnd w:id="30"/>
    <w:bookmarkStart w:id="31" w:name="emergency-procedures"/>
    <w:p>
      <w:pPr>
        <w:pStyle w:val="Heading2"/>
      </w:pPr>
      <w:r>
        <w:t xml:space="preserve">11. Emergency Procedures</w:t>
      </w:r>
    </w:p>
    <w:p>
      <w:pPr>
        <w:pStyle w:val="FirstParagraph"/>
      </w:pPr>
      <w:r>
        <w:t xml:space="preserve">In case of an emergency:</w:t>
      </w:r>
    </w:p>
    <w:p>
      <w:pPr>
        <w:numPr>
          <w:ilvl w:val="0"/>
          <w:numId w:val="1008"/>
        </w:numPr>
        <w:pStyle w:val="Compact"/>
      </w:pPr>
      <w:r>
        <w:t xml:space="preserve">Activate the emergency shutdown system.</w:t>
      </w:r>
    </w:p>
    <w:p>
      <w:pPr>
        <w:numPr>
          <w:ilvl w:val="0"/>
          <w:numId w:val="1008"/>
        </w:numPr>
        <w:pStyle w:val="Compact"/>
      </w:pPr>
      <w:r>
        <w:t xml:space="preserve">Evacuate the area following established routes.</w:t>
      </w:r>
    </w:p>
    <w:p>
      <w:pPr>
        <w:numPr>
          <w:ilvl w:val="0"/>
          <w:numId w:val="1008"/>
        </w:numPr>
        <w:pStyle w:val="Compact"/>
      </w:pPr>
      <w:r>
        <w:t xml:space="preserve">Contact emergency services and report the incident.</w:t>
      </w:r>
    </w:p>
    <w:p>
      <w:pPr>
        <w:numPr>
          <w:ilvl w:val="0"/>
          <w:numId w:val="1008"/>
        </w:numPr>
        <w:pStyle w:val="Compact"/>
      </w:pPr>
      <w:r>
        <w:t xml:space="preserve">Provide first aid if trained and safe to do so.</w:t>
      </w:r>
    </w:p>
    <w:bookmarkEnd w:id="31"/>
    <w:bookmarkStart w:id="32" w:name="conclusion"/>
    <w:p>
      <w:pPr>
        <w:pStyle w:val="Heading2"/>
      </w:pPr>
      <w:r>
        <w:t xml:space="preserve">12. Conclusion</w:t>
      </w:r>
    </w:p>
    <w:p>
      <w:pPr>
        <w:pStyle w:val="FirstParagraph"/>
      </w:pPr>
      <w:r>
        <w:t xml:space="preserve">This Experiment Protocol provides a comprehensive framework for Mechatronics Engineers conducting experiments in Riyadh, Saudi Arabia. Adherence to this protocol ensures safety, accuracy, and compliance with all relevant standards and regulations.</w:t>
      </w:r>
    </w:p>
    <w:bookmarkEnd w:id="32"/>
    <w:bookmarkStart w:id="33" w:name="references"/>
    <w:p>
      <w:pPr>
        <w:pStyle w:val="Heading2"/>
      </w:pPr>
      <w:r>
        <w:t xml:space="preserve">13. References</w:t>
      </w:r>
    </w:p>
    <w:p>
      <w:pPr>
        <w:numPr>
          <w:ilvl w:val="0"/>
          <w:numId w:val="1009"/>
        </w:numPr>
        <w:pStyle w:val="Compact"/>
      </w:pPr>
      <w:r>
        <w:t xml:space="preserve">Saudi Arabian Standards Organization (SASO)</w:t>
      </w:r>
    </w:p>
    <w:p>
      <w:pPr>
        <w:numPr>
          <w:ilvl w:val="0"/>
          <w:numId w:val="1009"/>
        </w:numPr>
        <w:pStyle w:val="Compact"/>
      </w:pPr>
      <w:r>
        <w:t xml:space="preserve">International Electrotechnical Commission (IEC)</w:t>
      </w:r>
    </w:p>
    <w:p>
      <w:pPr>
        <w:numPr>
          <w:ilvl w:val="0"/>
          <w:numId w:val="1009"/>
        </w:numPr>
        <w:pStyle w:val="Compact"/>
      </w:pPr>
      <w:r>
        <w:t xml:space="preserve">ISO Standards for Mechatronics and Safety</w:t>
      </w:r>
    </w:p>
    <w:p>
      <w:pPr>
        <w:numPr>
          <w:ilvl w:val="0"/>
          <w:numId w:val="1009"/>
        </w:numPr>
        <w:pStyle w:val="Compact"/>
      </w:pPr>
      <w:r>
        <w:t xml:space="preserve">Local institutional guidelines and policies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Riyadh, Saudi Arabia</dc:title>
  <dc:creator/>
  <dc:language>en</dc:language>
  <cp:keywords/>
  <dcterms:created xsi:type="dcterms:W3CDTF">2026-10-10T05:38:44Z</dcterms:created>
  <dcterms:modified xsi:type="dcterms:W3CDTF">2026-10-10T05:38:44Z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