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Document Title:</w:t>
      </w:r>
      <w:r>
        <w:t xml:space="preserve"> </w:t>
      </w:r>
      <w:r>
        <w:t xml:space="preserve">Experiment Protocol for Mechatronics Engineer Performance Assessment</w:t>
      </w:r>
    </w:p>
    <w:p>
      <w:pPr>
        <w:pStyle w:val="BodyText"/>
      </w:pPr>
      <w:r>
        <w:rPr>
          <w:bCs/>
          <w:b/>
        </w:rPr>
        <w:t xml:space="preserve">Location:</w:t>
      </w:r>
      <w:r>
        <w:t xml:space="preserve"> </w:t>
      </w:r>
      <w:r>
        <w:t xml:space="preserve">South Africa, Johannesburg (Gauteng Province)</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Assessment Committee</w:t>
      </w:r>
    </w:p>
    <w:bookmarkStart w:id="20" w:name="Xb1da8ff4feac401008db0c3cf800863faf8ba1c"/>
    <w:p>
      <w:pPr>
        <w:pStyle w:val="Heading1"/>
      </w:pPr>
      <w:r>
        <w:t xml:space="preserve">Experiment Protocol: Mechatronics Engineer</w:t>
      </w:r>
    </w:p>
    <w:p>
      <w:pPr>
        <w:pStyle w:val="FirstParagraph"/>
      </w:pPr>
      <w:r>
        <w:t xml:space="preserve">This document outlines the standardized Experiment Protocol designed to evaluate the technical competencies, problem-solving abilities, and practical skills of a Mechatronics Engineer operating within the industrial context of South Africa, specifically in the Johannesburg metropolitan area. The protocol is structured to ensure consistency, safety, and relevance to local engineering standards and regulatory frameworks.</w:t>
      </w:r>
    </w:p>
    <w:bookmarkEnd w:id="20"/>
    <w:bookmarkStart w:id="21" w:name="objective"/>
    <w:p>
      <w:pPr>
        <w:pStyle w:val="Heading2"/>
      </w:pPr>
      <w:r>
        <w:t xml:space="preserve">1. Objective</w:t>
      </w:r>
    </w:p>
    <w:p>
      <w:pPr>
        <w:pStyle w:val="FirstParagraph"/>
      </w:pPr>
      <w:r>
        <w:t xml:space="preserve">The primary objective of this Experiment Protocol is to assess the candidate’s ability to design, implement, and troubleshoot integrated mechatronic systems under conditions that reflect real-world industrial environments in Johannesburg. The experiment will test the engineer’s proficiency in mechanical design, electrical systems, control theory, programming, and system integration, while adhering to South African National Standards (SANS) and Occupational Health and Safety (OHS) regulations.</w:t>
      </w:r>
    </w:p>
    <w:bookmarkEnd w:id="21"/>
    <w:bookmarkStart w:id="22" w:name="scope"/>
    <w:p>
      <w:pPr>
        <w:pStyle w:val="Heading2"/>
      </w:pPr>
      <w:r>
        <w:t xml:space="preserve">2. Scope</w:t>
      </w:r>
    </w:p>
    <w:p>
      <w:pPr>
        <w:pStyle w:val="FirstParagraph"/>
      </w:pPr>
      <w:r>
        <w:t xml:space="preserve">This protocol applies to all Mechatronics Engineers undergoing technical evaluation for employment, certification, or performance review within Johannesburg-based industries, including but not limited to manufacturing, mining, automotive, and robotics sectors. The experiment will be conducted in a controlled laboratory or industrial simulation environment equipped with standard mechatronic tools and systems.</w:t>
      </w:r>
    </w:p>
    <w:bookmarkEnd w:id="22"/>
    <w:bookmarkStart w:id="23" w:name="regulatory-and-safety-compliance"/>
    <w:p>
      <w:pPr>
        <w:pStyle w:val="Heading2"/>
      </w:pPr>
      <w:r>
        <w:t xml:space="preserve">3. Regulatory and Safety Compliance</w:t>
      </w:r>
    </w:p>
    <w:p>
      <w:pPr>
        <w:pStyle w:val="FirstParagraph"/>
      </w:pPr>
      <w:r>
        <w:t xml:space="preserve">All activities under this Experiment Protocol must comply with the following South African regulations and standards:</w:t>
      </w:r>
    </w:p>
    <w:p>
      <w:pPr>
        <w:numPr>
          <w:ilvl w:val="0"/>
          <w:numId w:val="1001"/>
        </w:numPr>
        <w:pStyle w:val="Compact"/>
      </w:pPr>
      <w:r>
        <w:t xml:space="preserve">Occupational Health and Safety Act (Act 85 of 1993)</w:t>
      </w:r>
    </w:p>
    <w:p>
      <w:pPr>
        <w:numPr>
          <w:ilvl w:val="0"/>
          <w:numId w:val="1001"/>
        </w:numPr>
        <w:pStyle w:val="Compact"/>
      </w:pPr>
      <w:r>
        <w:t xml:space="preserve">SANS 10142 (Wiring of Premises)</w:t>
      </w:r>
    </w:p>
    <w:p>
      <w:pPr>
        <w:numPr>
          <w:ilvl w:val="0"/>
          <w:numId w:val="1001"/>
        </w:numPr>
        <w:pStyle w:val="Compact"/>
      </w:pPr>
      <w:r>
        <w:t xml:space="preserve">SANS 60204 (Safety of Machinery – Electrical Equipment)</w:t>
      </w:r>
    </w:p>
    <w:p>
      <w:pPr>
        <w:numPr>
          <w:ilvl w:val="0"/>
          <w:numId w:val="1001"/>
        </w:numPr>
        <w:pStyle w:val="Compact"/>
      </w:pPr>
      <w:r>
        <w:t xml:space="preserve">Local Johannesburg municipal safety guidelines for industrial operations</w:t>
      </w:r>
    </w:p>
    <w:p>
      <w:pPr>
        <w:pStyle w:val="FirstParagraph"/>
      </w:pPr>
      <w:r>
        <w:t xml:space="preserve">Personal Protective Equipment (PPE) including safety glasses, gloves, and steel-toed boots must be worn at all times during the experiment. Emergency stop procedures and first aid protocols must be clearly communicated and accessible.</w:t>
      </w:r>
    </w:p>
    <w:bookmarkEnd w:id="23"/>
    <w:bookmarkStart w:id="24" w:name="equipment-and-materials"/>
    <w:p>
      <w:pPr>
        <w:pStyle w:val="Heading2"/>
      </w:pPr>
      <w:r>
        <w:t xml:space="preserve">4. Equipment and Materials</w:t>
      </w:r>
    </w:p>
    <w:p>
      <w:pPr>
        <w:pStyle w:val="FirstParagraph"/>
      </w:pPr>
      <w:r>
        <w:t xml:space="preserve">The following equipment and materials will be provided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Purpose</w:t>
            </w:r>
          </w:p>
        </w:tc>
      </w:tr>
      <w:tr>
        <w:tc>
          <w:tcPr/>
          <w:p>
            <w:pPr>
              <w:pStyle w:val="Compact"/>
              <w:jc w:val="left"/>
            </w:pPr>
            <w:r>
              <w:t xml:space="preserve">PLC (Programmable Logic Controller)</w:t>
            </w:r>
          </w:p>
        </w:tc>
        <w:tc>
          <w:tcPr/>
          <w:p>
            <w:pPr>
              <w:pStyle w:val="Compact"/>
              <w:jc w:val="left"/>
            </w:pPr>
            <w:r>
              <w:t xml:space="preserve">1</w:t>
            </w:r>
          </w:p>
        </w:tc>
        <w:tc>
          <w:tcPr/>
          <w:p>
            <w:pPr>
              <w:pStyle w:val="Compact"/>
              <w:jc w:val="left"/>
            </w:pPr>
            <w:r>
              <w:t xml:space="preserve">System control and automation</w:t>
            </w:r>
          </w:p>
        </w:tc>
      </w:tr>
      <w:tr>
        <w:tc>
          <w:tcPr/>
          <w:p>
            <w:pPr>
              <w:pStyle w:val="Compact"/>
              <w:jc w:val="left"/>
            </w:pPr>
            <w:r>
              <w:t xml:space="preserve">Sensors (proximity, temperature, pressure)</w:t>
            </w:r>
          </w:p>
        </w:tc>
        <w:tc>
          <w:tcPr/>
          <w:p>
            <w:pPr>
              <w:pStyle w:val="Compact"/>
              <w:jc w:val="left"/>
            </w:pPr>
            <w:r>
              <w:t xml:space="preserve">5</w:t>
            </w:r>
          </w:p>
        </w:tc>
        <w:tc>
          <w:tcPr/>
          <w:p>
            <w:pPr>
              <w:pStyle w:val="Compact"/>
              <w:jc w:val="left"/>
            </w:pPr>
            <w:r>
              <w:t xml:space="preserve">Data acquisition and feedback</w:t>
            </w:r>
          </w:p>
        </w:tc>
      </w:tr>
      <w:tr>
        <w:tc>
          <w:tcPr/>
          <w:p>
            <w:pPr>
              <w:pStyle w:val="Compact"/>
              <w:jc w:val="left"/>
            </w:pPr>
            <w:r>
              <w:t xml:space="preserve">Actuators (motors, solenoids)</w:t>
            </w:r>
          </w:p>
        </w:tc>
        <w:tc>
          <w:tcPr/>
          <w:p>
            <w:pPr>
              <w:pStyle w:val="Compact"/>
              <w:jc w:val="left"/>
            </w:pPr>
            <w:r>
              <w:t xml:space="preserve">3</w:t>
            </w:r>
          </w:p>
        </w:tc>
        <w:tc>
          <w:tcPr/>
          <w:p>
            <w:pPr>
              <w:pStyle w:val="Compact"/>
              <w:jc w:val="left"/>
            </w:pPr>
            <w:r>
              <w:t xml:space="preserve">Mechanical movement and control</w:t>
            </w:r>
          </w:p>
        </w:tc>
      </w:tr>
      <w:tr>
        <w:tc>
          <w:tcPr/>
          <w:p>
            <w:pPr>
              <w:pStyle w:val="Compact"/>
              <w:jc w:val="left"/>
            </w:pPr>
            <w:r>
              <w:t xml:space="preserve">Microcontroller (e.g., Arduino, Raspberry Pi)</w:t>
            </w:r>
          </w:p>
        </w:tc>
        <w:tc>
          <w:tcPr/>
          <w:p>
            <w:pPr>
              <w:pStyle w:val="Compact"/>
              <w:jc w:val="left"/>
            </w:pPr>
            <w:r>
              <w:t xml:space="preserve">1</w:t>
            </w:r>
          </w:p>
        </w:tc>
        <w:tc>
          <w:tcPr/>
          <w:p>
            <w:pPr>
              <w:pStyle w:val="Compact"/>
              <w:jc w:val="left"/>
            </w:pPr>
            <w:r>
              <w:t xml:space="preserve">Embedded system programming</w:t>
            </w:r>
          </w:p>
        </w:tc>
      </w:tr>
      <w:tr>
        <w:tc>
          <w:tcPr/>
          <w:p>
            <w:pPr>
              <w:pStyle w:val="Compact"/>
              <w:jc w:val="left"/>
            </w:pPr>
            <w:r>
              <w:t xml:space="preserve">Power supply units</w:t>
            </w:r>
          </w:p>
        </w:tc>
        <w:tc>
          <w:tcPr/>
          <w:p>
            <w:pPr>
              <w:pStyle w:val="Compact"/>
              <w:jc w:val="left"/>
            </w:pPr>
            <w:r>
              <w:t xml:space="preserve">2</w:t>
            </w:r>
          </w:p>
        </w:tc>
        <w:tc>
          <w:tcPr/>
          <w:p>
            <w:pPr>
              <w:pStyle w:val="Compact"/>
              <w:jc w:val="left"/>
            </w:pPr>
            <w:r>
              <w:t xml:space="preserve">System power distribution</w:t>
            </w:r>
          </w:p>
        </w:tc>
      </w:tr>
      <w:tr>
        <w:tc>
          <w:tcPr/>
          <w:p>
            <w:pPr>
              <w:pStyle w:val="Compact"/>
              <w:jc w:val="left"/>
            </w:pPr>
            <w:r>
              <w:t xml:space="preserve">Multimeter and oscilloscope</w:t>
            </w:r>
          </w:p>
        </w:tc>
        <w:tc>
          <w:tcPr/>
          <w:p>
            <w:pPr>
              <w:pStyle w:val="Compact"/>
              <w:jc w:val="left"/>
            </w:pPr>
            <w:r>
              <w:t xml:space="preserve">1 each</w:t>
            </w:r>
          </w:p>
        </w:tc>
        <w:tc>
          <w:tcPr/>
          <w:p>
            <w:pPr>
              <w:pStyle w:val="Compact"/>
              <w:jc w:val="left"/>
            </w:pPr>
            <w:r>
              <w:t xml:space="preserve">Electrical diagnostics</w:t>
            </w:r>
          </w:p>
        </w:tc>
      </w:tr>
      <w:tr>
        <w:tc>
          <w:tcPr/>
          <w:p>
            <w:pPr>
              <w:pStyle w:val="Compact"/>
              <w:jc w:val="left"/>
            </w:pPr>
            <w:r>
              <w:t xml:space="preserve">Mechanical components (gears, belts, frames)</w:t>
            </w:r>
          </w:p>
        </w:tc>
        <w:tc>
          <w:tcPr/>
          <w:p>
            <w:pPr>
              <w:pStyle w:val="Compact"/>
              <w:jc w:val="left"/>
            </w:pPr>
            <w:r>
              <w:t xml:space="preserve">As required</w:t>
            </w:r>
          </w:p>
        </w:tc>
        <w:tc>
          <w:tcPr/>
          <w:p>
            <w:pPr>
              <w:pStyle w:val="Compact"/>
              <w:jc w:val="left"/>
            </w:pPr>
            <w:r>
              <w:t xml:space="preserve">System assembly</w:t>
            </w:r>
          </w:p>
        </w:tc>
      </w:tr>
      <w:tr>
        <w:tc>
          <w:tcPr/>
          <w:p>
            <w:pPr>
              <w:pStyle w:val="Compact"/>
              <w:jc w:val="left"/>
            </w:pPr>
            <w:r>
              <w:t xml:space="preserve">Computer with CAD and programming software</w:t>
            </w:r>
          </w:p>
        </w:tc>
        <w:tc>
          <w:tcPr/>
          <w:p>
            <w:pPr>
              <w:pStyle w:val="Compact"/>
              <w:jc w:val="left"/>
            </w:pPr>
            <w:r>
              <w:t xml:space="preserve">1</w:t>
            </w:r>
          </w:p>
        </w:tc>
        <w:tc>
          <w:tcPr/>
          <w:p>
            <w:pPr>
              <w:pStyle w:val="Compact"/>
              <w:jc w:val="left"/>
            </w:pPr>
            <w:r>
              <w:t xml:space="preserve">Design and coding</w:t>
            </w:r>
          </w:p>
        </w:tc>
      </w:tr>
    </w:tbl>
    <w:bookmarkEnd w:id="24"/>
    <w:bookmarkStart w:id="29" w:name="procedure"/>
    <w:p>
      <w:pPr>
        <w:pStyle w:val="Heading2"/>
      </w:pPr>
      <w:r>
        <w:t xml:space="preserve">5. Procedure</w:t>
      </w:r>
    </w:p>
    <w:bookmarkStart w:id="25" w:name="system-design-phase"/>
    <w:p>
      <w:pPr>
        <w:pStyle w:val="Heading3"/>
      </w:pPr>
      <w:r>
        <w:t xml:space="preserve">5.1 System Design Phase</w:t>
      </w:r>
    </w:p>
    <w:p>
      <w:pPr>
        <w:pStyle w:val="FirstParagraph"/>
      </w:pPr>
      <w:r>
        <w:t xml:space="preserve">The Mechatronics Engineer will be required to design a small-scale automated system that integrates mechanical, electrical, and software components. The design must be documented using CAD software and include a control logic diagram. The system should simulate a typical Johannesburg industrial application, such as a conveyor sorting mechanism or a robotic arm for material handling.</w:t>
      </w:r>
    </w:p>
    <w:bookmarkEnd w:id="25"/>
    <w:bookmarkStart w:id="26" w:name="implementation-phase"/>
    <w:p>
      <w:pPr>
        <w:pStyle w:val="Heading3"/>
      </w:pPr>
      <w:r>
        <w:t xml:space="preserve">5.2 Implementation Phase</w:t>
      </w:r>
    </w:p>
    <w:p>
      <w:pPr>
        <w:pStyle w:val="FirstParagraph"/>
      </w:pPr>
      <w:r>
        <w:t xml:space="preserve">The engineer will assemble the system using the provided components, ensuring all electrical connections comply with SANS 10142 and mechanical assemblies are secure and functional. Programming of the PLC and microcontroller must be completed to achieve the desired system behavior.</w:t>
      </w:r>
    </w:p>
    <w:bookmarkEnd w:id="26"/>
    <w:bookmarkStart w:id="27" w:name="testing-and-troubleshooting-phase"/>
    <w:p>
      <w:pPr>
        <w:pStyle w:val="Heading3"/>
      </w:pPr>
      <w:r>
        <w:t xml:space="preserve">5.3 Testing and Troubleshooting Phase</w:t>
      </w:r>
    </w:p>
    <w:p>
      <w:pPr>
        <w:pStyle w:val="FirstParagraph"/>
      </w:pPr>
      <w:r>
        <w:t xml:space="preserve">The system will be tested under various operating conditions. The engineer must demonstrate the ability to identify and resolve faults, optimize performance, and ensure system reliability. Data from sensors will be analyzed to validate system accuracy and responsiveness.</w:t>
      </w:r>
    </w:p>
    <w:bookmarkEnd w:id="27"/>
    <w:bookmarkStart w:id="28" w:name="documentation-and-reporting"/>
    <w:p>
      <w:pPr>
        <w:pStyle w:val="Heading3"/>
      </w:pPr>
      <w:r>
        <w:t xml:space="preserve">5.4 Documentation and Reporting</w:t>
      </w:r>
    </w:p>
    <w:p>
      <w:pPr>
        <w:pStyle w:val="FirstParagraph"/>
      </w:pPr>
      <w:r>
        <w:t xml:space="preserve">A comprehensive report must be submitted, detailing the design rationale, implementation steps, test results, and any challenges encountered. The report should reflect adherence to South African engineering standards and best practices.</w:t>
      </w:r>
    </w:p>
    <w:bookmarkEnd w:id="28"/>
    <w:bookmarkEnd w:id="29"/>
    <w:bookmarkStart w:id="30" w:name="evaluation-criteria"/>
    <w:p>
      <w:pPr>
        <w:pStyle w:val="Heading2"/>
      </w:pPr>
      <w:r>
        <w:t xml:space="preserve">6. Evaluation Criteria</w:t>
      </w:r>
    </w:p>
    <w:p>
      <w:pPr>
        <w:pStyle w:val="FirstParagraph"/>
      </w:pPr>
      <w:r>
        <w:t xml:space="preserve">The Mechatronics Engineer’s performance will be evaluated based on the following criteria:</w:t>
      </w:r>
    </w:p>
    <w:p>
      <w:pPr>
        <w:numPr>
          <w:ilvl w:val="0"/>
          <w:numId w:val="1002"/>
        </w:numPr>
        <w:pStyle w:val="Compact"/>
      </w:pPr>
      <w:r>
        <w:rPr>
          <w:bCs/>
          <w:b/>
        </w:rPr>
        <w:t xml:space="preserve">Technical Proficiency:</w:t>
      </w:r>
      <w:r>
        <w:t xml:space="preserve"> </w:t>
      </w:r>
      <w:r>
        <w:t xml:space="preserve">Accuracy and efficiency in system design, assembly, and programming.</w:t>
      </w:r>
    </w:p>
    <w:p>
      <w:pPr>
        <w:numPr>
          <w:ilvl w:val="0"/>
          <w:numId w:val="1002"/>
        </w:numPr>
        <w:pStyle w:val="Compact"/>
      </w:pPr>
      <w:r>
        <w:rPr>
          <w:bCs/>
          <w:b/>
        </w:rPr>
        <w:t xml:space="preserve">Problem-Solving:</w:t>
      </w:r>
      <w:r>
        <w:t xml:space="preserve"> </w:t>
      </w:r>
      <w:r>
        <w:t xml:space="preserve">Ability to diagnose and resolve technical issues under time constraints.</w:t>
      </w:r>
    </w:p>
    <w:p>
      <w:pPr>
        <w:numPr>
          <w:ilvl w:val="0"/>
          <w:numId w:val="1002"/>
        </w:numPr>
        <w:pStyle w:val="Compact"/>
      </w:pPr>
      <w:r>
        <w:rPr>
          <w:bCs/>
          <w:b/>
        </w:rPr>
        <w:t xml:space="preserve">Compliance:</w:t>
      </w:r>
      <w:r>
        <w:t xml:space="preserve"> </w:t>
      </w:r>
      <w:r>
        <w:t xml:space="preserve">Adherence to safety protocols and South African regulatory standards.</w:t>
      </w:r>
    </w:p>
    <w:p>
      <w:pPr>
        <w:numPr>
          <w:ilvl w:val="0"/>
          <w:numId w:val="1002"/>
        </w:numPr>
        <w:pStyle w:val="Compact"/>
      </w:pPr>
      <w:r>
        <w:rPr>
          <w:bCs/>
          <w:b/>
        </w:rPr>
        <w:t xml:space="preserve">Innovation:</w:t>
      </w:r>
      <w:r>
        <w:t xml:space="preserve"> </w:t>
      </w:r>
      <w:r>
        <w:t xml:space="preserve">Creativity and effectiveness in system optimization and integration.</w:t>
      </w:r>
    </w:p>
    <w:p>
      <w:pPr>
        <w:numPr>
          <w:ilvl w:val="0"/>
          <w:numId w:val="1002"/>
        </w:numPr>
        <w:pStyle w:val="Compact"/>
      </w:pPr>
      <w:r>
        <w:rPr>
          <w:bCs/>
          <w:b/>
        </w:rPr>
        <w:t xml:space="preserve">Documentation:</w:t>
      </w:r>
      <w:r>
        <w:t xml:space="preserve"> </w:t>
      </w:r>
      <w:r>
        <w:t xml:space="preserve">Clarity, completeness, and professionalism of technical reports.</w:t>
      </w:r>
    </w:p>
    <w:bookmarkEnd w:id="30"/>
    <w:bookmarkStart w:id="31" w:name="conclusion"/>
    <w:p>
      <w:pPr>
        <w:pStyle w:val="Heading2"/>
      </w:pPr>
      <w:r>
        <w:t xml:space="preserve">7. Conclusion</w:t>
      </w:r>
    </w:p>
    <w:p>
      <w:pPr>
        <w:pStyle w:val="FirstParagraph"/>
      </w:pPr>
      <w:r>
        <w:t xml:space="preserve">This Experiment Protocol provides a rigorous and standardized framework for assessing the capabilities of a Mechatronics Engineer in the context of South Africa’s Johannesburg industrial landscape. By aligning the evaluation with local regulations, industry needs, and technical best practices, this protocol ensures that only qualified and competent engineers are recognized and employed in critical engineering roles.</w:t>
      </w:r>
    </w:p>
    <w:bookmarkEnd w:id="31"/>
    <w:p>
      <w:pPr>
        <w:pStyle w:val="BodyText"/>
      </w:pPr>
      <w:r>
        <w:t xml:space="preserve">© 2023 Technical Assessment Committee. All rights reserved. This document is intended for use in South Africa, Johannesburg.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South Africa Johannesburg</dc:title>
  <dc:creator/>
  <dc:language>en</dc:language>
  <cp:keywords/>
  <dcterms:created xsi:type="dcterms:W3CDTF">2026-10-10T04:11:52Z</dcterms:created>
  <dcterms:modified xsi:type="dcterms:W3CDTF">2026-10-10T04:11:52Z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