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experiments related to the role of a Mechatronics Engineer in Vietnam Ho Chi Minh City. The protocol aims to ensure that all experiments are conducted safely, efficiently, and in compliance with local regulations and industry standards.</w:t>
      </w:r>
    </w:p>
    <w:p>
      <w:pPr>
        <w:pStyle w:val="BodyText"/>
      </w:pPr>
      <w:r>
        <w:t xml:space="preserve">Mechatronics Engineering is a multidisciplinary field that integrates mechanical engineering, electronics, computer science, and control engineering. In Vietnam Ho Chi Minh City, this field is particularly relevant due to the city's growing industrial sector and technological advancements.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the scope and methodology for experiments conducted by Mechatronics Engineers in Vietnam Ho Chi Minh City.</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maintain high standards of data collection and analysis.</w:t>
      </w:r>
    </w:p>
    <w:p>
      <w:pPr>
        <w:numPr>
          <w:ilvl w:val="0"/>
          <w:numId w:val="1001"/>
        </w:numPr>
        <w:pStyle w:val="Compact"/>
      </w:pPr>
      <w:r>
        <w:t xml:space="preserve">To comply with local regulations and industry best practices.</w:t>
      </w:r>
    </w:p>
    <w:bookmarkEnd w:id="22"/>
    <w:bookmarkStart w:id="23" w:name="scope"/>
    <w:p>
      <w:pPr>
        <w:pStyle w:val="Heading2"/>
      </w:pPr>
      <w:r>
        <w:t xml:space="preserve">3. Scope</w:t>
      </w:r>
    </w:p>
    <w:p>
      <w:pPr>
        <w:pStyle w:val="FirstParagraph"/>
      </w:pPr>
      <w:r>
        <w:t xml:space="preserve">This protocol applies to all experiments conducted by Mechatronics Engineers within the boundaries of Vietnam Ho Chi Minh City. It covers various aspects of mechatronics, including but not limited to:</w:t>
      </w:r>
    </w:p>
    <w:p>
      <w:pPr>
        <w:numPr>
          <w:ilvl w:val="0"/>
          <w:numId w:val="1002"/>
        </w:numPr>
        <w:pStyle w:val="Compact"/>
      </w:pPr>
      <w:r>
        <w:t xml:space="preserve">Robotics and automation systems</w:t>
      </w:r>
    </w:p>
    <w:p>
      <w:pPr>
        <w:numPr>
          <w:ilvl w:val="0"/>
          <w:numId w:val="1002"/>
        </w:numPr>
        <w:pStyle w:val="Compact"/>
      </w:pPr>
      <w:r>
        <w:t xml:space="preserve">Control systems and algorithms</w:t>
      </w:r>
    </w:p>
    <w:p>
      <w:pPr>
        <w:numPr>
          <w:ilvl w:val="0"/>
          <w:numId w:val="1002"/>
        </w:numPr>
        <w:pStyle w:val="Compact"/>
      </w:pPr>
      <w:r>
        <w:t xml:space="preserve">Sensor integration and data acquisition</w:t>
      </w:r>
    </w:p>
    <w:p>
      <w:pPr>
        <w:numPr>
          <w:ilvl w:val="0"/>
          <w:numId w:val="1002"/>
        </w:numPr>
        <w:pStyle w:val="Compact"/>
      </w:pPr>
      <w:r>
        <w:t xml:space="preserve">Mechanical design and prototyping</w:t>
      </w:r>
    </w:p>
    <w:p>
      <w:pPr>
        <w:numPr>
          <w:ilvl w:val="0"/>
          <w:numId w:val="1002"/>
        </w:numPr>
        <w:pStyle w:val="Compact"/>
      </w:pPr>
      <w:r>
        <w:t xml:space="preserve">Electronics and embedded systems</w:t>
      </w:r>
    </w:p>
    <w:bookmarkEnd w:id="23"/>
    <w:bookmarkStart w:id="24" w:name="responsibilities"/>
    <w:p>
      <w:pPr>
        <w:pStyle w:val="Heading2"/>
      </w:pPr>
      <w:r>
        <w:t xml:space="preserve">4. Responsibilities</w:t>
      </w:r>
    </w:p>
    <w:p>
      <w:pPr>
        <w:pStyle w:val="FirstParagraph"/>
      </w:pPr>
      <w:r>
        <w:t xml:space="preserve">The following roles and responsibilities are defined for the successful execution of this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and conduct experiments, ensure safety compliance, collect and analyze data, and report findings.</w:t>
            </w:r>
          </w:p>
        </w:tc>
      </w:tr>
      <w:tr>
        <w:tc>
          <w:tcPr/>
          <w:p>
            <w:pPr>
              <w:pStyle w:val="Compact"/>
              <w:jc w:val="left"/>
            </w:pPr>
            <w:r>
              <w:t xml:space="preserve">Project Manager</w:t>
            </w:r>
          </w:p>
        </w:tc>
        <w:tc>
          <w:tcPr/>
          <w:p>
            <w:pPr>
              <w:pStyle w:val="Compact"/>
              <w:jc w:val="left"/>
            </w:pPr>
            <w:r>
              <w:t xml:space="preserve">Oversee the project, allocate resources, and ensure adherence to the protocol.</w:t>
            </w:r>
          </w:p>
        </w:tc>
      </w:tr>
      <w:tr>
        <w:tc>
          <w:tcPr/>
          <w:p>
            <w:pPr>
              <w:pStyle w:val="Compact"/>
              <w:jc w:val="left"/>
            </w:pPr>
            <w:r>
              <w:t xml:space="preserve">Safety Officer</w:t>
            </w:r>
          </w:p>
        </w:tc>
        <w:tc>
          <w:tcPr/>
          <w:p>
            <w:pPr>
              <w:pStyle w:val="Compact"/>
              <w:jc w:val="left"/>
            </w:pPr>
            <w:r>
              <w:t xml:space="preserve">Monitor safety practices, conduct risk assessments, and provide training.</w:t>
            </w:r>
          </w:p>
        </w:tc>
      </w:tr>
      <w:tr>
        <w:tc>
          <w:tcPr/>
          <w:p>
            <w:pPr>
              <w:pStyle w:val="Compact"/>
              <w:jc w:val="left"/>
            </w:pPr>
            <w:r>
              <w:t xml:space="preserve">Quality Assurance</w:t>
            </w:r>
          </w:p>
        </w:tc>
        <w:tc>
          <w:tcPr/>
          <w:p>
            <w:pPr>
              <w:pStyle w:val="Compact"/>
              <w:jc w:val="left"/>
            </w:pPr>
            <w:r>
              <w:t xml:space="preserve">Review experimental procedures and data for accuracy and compliance.</w:t>
            </w:r>
          </w:p>
        </w:tc>
      </w:tr>
    </w:tbl>
    <w:bookmarkEnd w:id="24"/>
    <w:bookmarkStart w:id="28" w:name="experimental-procedures"/>
    <w:p>
      <w:pPr>
        <w:pStyle w:val="Heading2"/>
      </w:pPr>
      <w:r>
        <w:t xml:space="preserve">5. Experimental Procedures</w:t>
      </w:r>
    </w:p>
    <w:bookmarkStart w:id="25" w:name="pre-experiment-preparation"/>
    <w:p>
      <w:pPr>
        <w:pStyle w:val="Heading3"/>
      </w:pPr>
      <w:r>
        <w:t xml:space="preserve">5.1 Pre-Experiment Preparation</w:t>
      </w:r>
    </w:p>
    <w:p>
      <w:pPr>
        <w:pStyle w:val="FirstParagraph"/>
      </w:pPr>
      <w:r>
        <w:t xml:space="preserve">Before conducting any experiment, the Mechatronics Engineer must:</w:t>
      </w:r>
    </w:p>
    <w:p>
      <w:pPr>
        <w:numPr>
          <w:ilvl w:val="0"/>
          <w:numId w:val="1003"/>
        </w:numPr>
        <w:pStyle w:val="Compact"/>
      </w:pPr>
      <w:r>
        <w:t xml:space="preserve">Review the experimental design and objectives.</w:t>
      </w:r>
    </w:p>
    <w:p>
      <w:pPr>
        <w:numPr>
          <w:ilvl w:val="0"/>
          <w:numId w:val="1003"/>
        </w:numPr>
        <w:pStyle w:val="Compact"/>
      </w:pPr>
      <w:r>
        <w:t xml:space="preserve">Conduct a risk assessment and identify potential hazards.</w:t>
      </w:r>
    </w:p>
    <w:p>
      <w:pPr>
        <w:numPr>
          <w:ilvl w:val="0"/>
          <w:numId w:val="1003"/>
        </w:numPr>
        <w:pStyle w:val="Compact"/>
      </w:pPr>
      <w:r>
        <w:t xml:space="preserve">Ensure all necessary equipment and materials are available and in good condition.</w:t>
      </w:r>
    </w:p>
    <w:p>
      <w:pPr>
        <w:numPr>
          <w:ilvl w:val="0"/>
          <w:numId w:val="1003"/>
        </w:numPr>
        <w:pStyle w:val="Compact"/>
      </w:pPr>
      <w:r>
        <w:t xml:space="preserve">Obtain necessary approvals and permits from relevant authorities in Vietnam Ho Chi Minh City.</w:t>
      </w:r>
    </w:p>
    <w:bookmarkEnd w:id="25"/>
    <w:bookmarkStart w:id="26" w:name="experiment-execution"/>
    <w:p>
      <w:pPr>
        <w:pStyle w:val="Heading3"/>
      </w:pPr>
      <w:r>
        <w:t xml:space="preserve">5.2 Experiment Execution</w:t>
      </w:r>
    </w:p>
    <w:p>
      <w:pPr>
        <w:pStyle w:val="FirstParagraph"/>
      </w:pPr>
      <w:r>
        <w:t xml:space="preserve">During the experiment, the Mechatronics Engineer must:</w:t>
      </w:r>
    </w:p>
    <w:p>
      <w:pPr>
        <w:numPr>
          <w:ilvl w:val="0"/>
          <w:numId w:val="1004"/>
        </w:numPr>
        <w:pStyle w:val="Compact"/>
      </w:pPr>
      <w:r>
        <w:t xml:space="preserve">Follow the predefined experimental procedures strictly.</w:t>
      </w:r>
    </w:p>
    <w:p>
      <w:pPr>
        <w:numPr>
          <w:ilvl w:val="0"/>
          <w:numId w:val="1004"/>
        </w:numPr>
        <w:pStyle w:val="Compact"/>
      </w:pPr>
      <w:r>
        <w:t xml:space="preserve">Monitor all systems and equipment for any anomalies.</w:t>
      </w:r>
    </w:p>
    <w:p>
      <w:pPr>
        <w:numPr>
          <w:ilvl w:val="0"/>
          <w:numId w:val="1004"/>
        </w:numPr>
        <w:pStyle w:val="Compact"/>
      </w:pPr>
      <w:r>
        <w:t xml:space="preserve">Record all data accurately and in real-time.</w:t>
      </w:r>
    </w:p>
    <w:p>
      <w:pPr>
        <w:numPr>
          <w:ilvl w:val="0"/>
          <w:numId w:val="1004"/>
        </w:numPr>
        <w:pStyle w:val="Compact"/>
      </w:pPr>
      <w:r>
        <w:t xml:space="preserve">Ensure that all safety protocols are followed.</w:t>
      </w:r>
    </w:p>
    <w:bookmarkEnd w:id="26"/>
    <w:bookmarkStart w:id="27" w:name="post-experiment-analysis"/>
    <w:p>
      <w:pPr>
        <w:pStyle w:val="Heading3"/>
      </w:pPr>
      <w:r>
        <w:t xml:space="preserve">5.3 Post-Experiment Analysis</w:t>
      </w:r>
    </w:p>
    <w:p>
      <w:pPr>
        <w:pStyle w:val="FirstParagraph"/>
      </w:pPr>
      <w:r>
        <w:t xml:space="preserve">After the experiment, the Mechatronics Engineer must:</w:t>
      </w:r>
    </w:p>
    <w:p>
      <w:pPr>
        <w:numPr>
          <w:ilvl w:val="0"/>
          <w:numId w:val="1005"/>
        </w:numPr>
        <w:pStyle w:val="Compact"/>
      </w:pPr>
      <w:r>
        <w:t xml:space="preserve">Analyze the collected data using appropriate statistical methods.</w:t>
      </w:r>
    </w:p>
    <w:p>
      <w:pPr>
        <w:numPr>
          <w:ilvl w:val="0"/>
          <w:numId w:val="1005"/>
        </w:numPr>
        <w:pStyle w:val="Compact"/>
      </w:pPr>
      <w:r>
        <w:t xml:space="preserve">Compare the results with the expected outcomes.</w:t>
      </w:r>
    </w:p>
    <w:p>
      <w:pPr>
        <w:numPr>
          <w:ilvl w:val="0"/>
          <w:numId w:val="1005"/>
        </w:numPr>
        <w:pStyle w:val="Compact"/>
      </w:pPr>
      <w:r>
        <w:t xml:space="preserve">Document any deviations or unexpected findings.</w:t>
      </w:r>
    </w:p>
    <w:p>
      <w:pPr>
        <w:numPr>
          <w:ilvl w:val="0"/>
          <w:numId w:val="1005"/>
        </w:numPr>
        <w:pStyle w:val="Compact"/>
      </w:pPr>
      <w:r>
        <w:t xml:space="preserve">Prepare a detailed report summarizing the experiment and its results.</w:t>
      </w:r>
    </w:p>
    <w:bookmarkEnd w:id="27"/>
    <w:bookmarkEnd w:id="28"/>
    <w:bookmarkStart w:id="29" w:name="safety-guidelines"/>
    <w:p>
      <w:pPr>
        <w:pStyle w:val="Heading2"/>
      </w:pPr>
      <w:r>
        <w:t xml:space="preserve">6. Safety Guidelines</w:t>
      </w:r>
    </w:p>
    <w:p>
      <w:pPr>
        <w:pStyle w:val="FirstParagraph"/>
      </w:pPr>
      <w:r>
        <w:t xml:space="preserve">Safety is paramount in all experiments conducted by Mechatronics Engineers in Vietnam Ho Chi Minh City. The following guidelines must be strictly followed:</w:t>
      </w:r>
    </w:p>
    <w:p>
      <w:pPr>
        <w:numPr>
          <w:ilvl w:val="0"/>
          <w:numId w:val="1006"/>
        </w:numPr>
        <w:pStyle w:val="Compact"/>
      </w:pPr>
      <w:r>
        <w:t xml:space="preserve">Wear appropriate personal protective equipment (PPE) at all times.</w:t>
      </w:r>
    </w:p>
    <w:p>
      <w:pPr>
        <w:numPr>
          <w:ilvl w:val="0"/>
          <w:numId w:val="1006"/>
        </w:numPr>
        <w:pStyle w:val="Compact"/>
      </w:pPr>
      <w:r>
        <w:t xml:space="preserve">Ensure that all electrical systems are properly grounded and insulated.</w:t>
      </w:r>
    </w:p>
    <w:p>
      <w:pPr>
        <w:numPr>
          <w:ilvl w:val="0"/>
          <w:numId w:val="1006"/>
        </w:numPr>
        <w:pStyle w:val="Compact"/>
      </w:pPr>
      <w:r>
        <w:t xml:space="preserve">Keep the workspace clean and free of clutter.</w:t>
      </w:r>
    </w:p>
    <w:p>
      <w:pPr>
        <w:numPr>
          <w:ilvl w:val="0"/>
          <w:numId w:val="1006"/>
        </w:numPr>
        <w:pStyle w:val="Compact"/>
      </w:pPr>
      <w:r>
        <w:t xml:space="preserve">Regularly inspect and maintain all equipment.</w:t>
      </w:r>
    </w:p>
    <w:p>
      <w:pPr>
        <w:numPr>
          <w:ilvl w:val="0"/>
          <w:numId w:val="1006"/>
        </w:numPr>
        <w:pStyle w:val="Compact"/>
      </w:pPr>
      <w:r>
        <w:t xml:space="preserve">Be aware of emergency procedures and evacuation routes.</w:t>
      </w:r>
    </w:p>
    <w:p>
      <w:pPr>
        <w:pStyle w:val="FirstParagraph"/>
      </w:pPr>
      <w:r>
        <w:rPr>
          <w:bCs/>
          <w:b/>
        </w:rPr>
        <w:t xml:space="preserve">Note:</w:t>
      </w:r>
      <w:r>
        <w:t xml:space="preserve"> </w:t>
      </w:r>
      <w:r>
        <w:t xml:space="preserve">In the event of an accident or emergency, immediately notify the Safety Officer and follow the established emergency response plan.</w:t>
      </w:r>
    </w:p>
    <w:bookmarkEnd w:id="29"/>
    <w:bookmarkStart w:id="30" w:name="data-management"/>
    <w:p>
      <w:pPr>
        <w:pStyle w:val="Heading2"/>
      </w:pPr>
      <w:r>
        <w:t xml:space="preserve">7. Data Management</w:t>
      </w:r>
    </w:p>
    <w:p>
      <w:pPr>
        <w:pStyle w:val="FirstParagraph"/>
      </w:pPr>
      <w:r>
        <w:t xml:space="preserve">Accurate and secure data management is crucial for the integrity of the experiments. The following practices must be adhered to:</w:t>
      </w:r>
    </w:p>
    <w:p>
      <w:pPr>
        <w:numPr>
          <w:ilvl w:val="0"/>
          <w:numId w:val="1007"/>
        </w:numPr>
        <w:pStyle w:val="Compact"/>
      </w:pPr>
      <w:r>
        <w:t xml:space="preserve">Use standardized formats for data collection and storage.</w:t>
      </w:r>
    </w:p>
    <w:p>
      <w:pPr>
        <w:numPr>
          <w:ilvl w:val="0"/>
          <w:numId w:val="1007"/>
        </w:numPr>
        <w:pStyle w:val="Compact"/>
      </w:pPr>
      <w:r>
        <w:t xml:space="preserve">Back up all data regularly to prevent loss.</w:t>
      </w:r>
    </w:p>
    <w:p>
      <w:pPr>
        <w:numPr>
          <w:ilvl w:val="0"/>
          <w:numId w:val="1007"/>
        </w:numPr>
        <w:pStyle w:val="Compact"/>
      </w:pPr>
      <w:r>
        <w:t xml:space="preserve">Ensure data confidentiality and security.</w:t>
      </w:r>
    </w:p>
    <w:p>
      <w:pPr>
        <w:numPr>
          <w:ilvl w:val="0"/>
          <w:numId w:val="1007"/>
        </w:numPr>
        <w:pStyle w:val="Compact"/>
      </w:pPr>
      <w:r>
        <w:t xml:space="preserve">Maintain a log of all data changes and updates.</w:t>
      </w:r>
    </w:p>
    <w:bookmarkEnd w:id="30"/>
    <w:bookmarkStart w:id="31" w:name="compliance-and-regulations"/>
    <w:p>
      <w:pPr>
        <w:pStyle w:val="Heading2"/>
      </w:pPr>
      <w:r>
        <w:t xml:space="preserve">8. Compliance and Regulations</w:t>
      </w:r>
    </w:p>
    <w:p>
      <w:pPr>
        <w:pStyle w:val="FirstParagraph"/>
      </w:pPr>
      <w:r>
        <w:t xml:space="preserve">All experiments must comply with the relevant laws and regulations in Vietnam Ho Chi Minh City, including but not limited to:</w:t>
      </w:r>
    </w:p>
    <w:p>
      <w:pPr>
        <w:numPr>
          <w:ilvl w:val="0"/>
          <w:numId w:val="1008"/>
        </w:numPr>
        <w:pStyle w:val="Compact"/>
      </w:pPr>
      <w:r>
        <w:t xml:space="preserve">Occupational safety and health regulations.</w:t>
      </w:r>
    </w:p>
    <w:p>
      <w:pPr>
        <w:numPr>
          <w:ilvl w:val="0"/>
          <w:numId w:val="1008"/>
        </w:numPr>
        <w:pStyle w:val="Compact"/>
      </w:pPr>
      <w:r>
        <w:t xml:space="preserve">Environmental protection laws.</w:t>
      </w:r>
    </w:p>
    <w:p>
      <w:pPr>
        <w:numPr>
          <w:ilvl w:val="0"/>
          <w:numId w:val="1008"/>
        </w:numPr>
        <w:pStyle w:val="Compact"/>
      </w:pPr>
      <w:r>
        <w:t xml:space="preserve">Intellectual property rights.</w:t>
      </w:r>
    </w:p>
    <w:p>
      <w:pPr>
        <w:numPr>
          <w:ilvl w:val="0"/>
          <w:numId w:val="1008"/>
        </w:numPr>
        <w:pStyle w:val="Compact"/>
      </w:pPr>
      <w:r>
        <w:t xml:space="preserve">Industry-specific standards and guidelines.</w:t>
      </w:r>
    </w:p>
    <w:bookmarkEnd w:id="31"/>
    <w:bookmarkStart w:id="32" w:name="conclusion"/>
    <w:p>
      <w:pPr>
        <w:pStyle w:val="Heading2"/>
      </w:pPr>
      <w:r>
        <w:t xml:space="preserve">9. Conclusion</w:t>
      </w:r>
    </w:p>
    <w:p>
      <w:pPr>
        <w:pStyle w:val="FirstParagraph"/>
      </w:pPr>
      <w:r>
        <w:t xml:space="preserve">This Experiment Protocol provides a comprehensive framework for Mechatronics Engineers conducting experiments in Vietnam Ho Chi Minh City. By adhering to these guidelines, engineers can ensure the safety, efficiency, and reliability of their work, contributing to the advancement of mechatronics technology in the region.</w:t>
      </w:r>
    </w:p>
    <w:bookmarkEnd w:id="32"/>
    <w:bookmarkStart w:id="33" w:name="references"/>
    <w:p>
      <w:pPr>
        <w:pStyle w:val="Heading2"/>
      </w:pPr>
      <w:r>
        <w:t xml:space="preserve">10. References</w:t>
      </w:r>
    </w:p>
    <w:p>
      <w:pPr>
        <w:numPr>
          <w:ilvl w:val="0"/>
          <w:numId w:val="1009"/>
        </w:numPr>
        <w:pStyle w:val="Compact"/>
      </w:pPr>
      <w:r>
        <w:t xml:space="preserve">Vietnam Ministry of Labor, Invalids and Social Affairs - Occupational Safety and Health Regulations</w:t>
      </w:r>
    </w:p>
    <w:p>
      <w:pPr>
        <w:numPr>
          <w:ilvl w:val="0"/>
          <w:numId w:val="1009"/>
        </w:numPr>
        <w:pStyle w:val="Compact"/>
      </w:pPr>
      <w:r>
        <w:t xml:space="preserve">International Electrotechnical Commission (IEC) Standards</w:t>
      </w:r>
    </w:p>
    <w:p>
      <w:pPr>
        <w:numPr>
          <w:ilvl w:val="0"/>
          <w:numId w:val="1009"/>
        </w:numPr>
        <w:pStyle w:val="Compact"/>
      </w:pPr>
      <w:r>
        <w:t xml:space="preserve">IEEE Standards for Mechatronics and Robotics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Ho Chi Minh City</dc:title>
  <dc:creator/>
  <dc:language>en</dc:language>
  <cp:keywords/>
  <dcterms:created xsi:type="dcterms:W3CDTF">2026-10-10T02:22:54Z</dcterms:created>
  <dcterms:modified xsi:type="dcterms:W3CDTF">2026-10-10T02:22:54Z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