
<file path=[Content_Types].xml><?xml version="1.0" encoding="utf-8"?>
<Types xmlns="http://schemas.openxmlformats.org/package/2006/content-types">
  <Default Extension="xml" ContentType="application/xml"/>
  <Default Extension="rels" ContentType="application/vnd.openxmlformats-package.relationships+xml"/>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Experiment</w:t>
      </w:r>
      <w:r>
        <w:t xml:space="preserve"> </w:t>
      </w:r>
      <w:r>
        <w:t xml:space="preserve">Protocol:</w:t>
      </w:r>
      <w:r>
        <w:t xml:space="preserve"> </w:t>
      </w:r>
      <w:r>
        <w:t xml:space="preserve">Military</w:t>
      </w:r>
      <w:r>
        <w:t xml:space="preserve"> </w:t>
      </w:r>
      <w:r>
        <w:t xml:space="preserve">Officer</w:t>
      </w:r>
      <w:r>
        <w:t xml:space="preserve"> </w:t>
      </w:r>
      <w:r>
        <w:t xml:space="preserve">Assessment</w:t>
      </w:r>
      <w:r>
        <w:t xml:space="preserve"> </w:t>
      </w:r>
      <w:r>
        <w:t xml:space="preserve">in</w:t>
      </w:r>
      <w:r>
        <w:t xml:space="preserve"> </w:t>
      </w:r>
      <w:r>
        <w:t xml:space="preserve">Myanmar</w:t>
      </w:r>
      <w:r>
        <w:t xml:space="preserve"> </w:t>
      </w:r>
      <w:r>
        <w:t xml:space="preserve">Yangon</w:t>
      </w:r>
    </w:p>
    <w:bookmarkStart w:id="20" w:name="X790086b80726b8db8fdc7e17162e8bed9a56c04"/>
    <w:p>
      <w:pPr>
        <w:pStyle w:val="Heading1"/>
      </w:pPr>
      <w:r>
        <w:t xml:space="preserve">Experiment Protocol: Military Officer Assessment in Myanmar Yangon</w:t>
      </w:r>
    </w:p>
    <w:p>
      <w:pPr>
        <w:pStyle w:val="FirstParagraph"/>
      </w:pPr>
      <w:r>
        <w:rPr>
          <w:bCs/>
          <w:b/>
        </w:rPr>
        <w:t xml:space="preserve">Document ID:</w:t>
      </w:r>
      <w:r>
        <w:t xml:space="preserve"> </w:t>
      </w:r>
      <w:r>
        <w:t xml:space="preserve">EXP-PROT-2023-001</w:t>
      </w:r>
    </w:p>
    <w:p>
      <w:pPr>
        <w:pStyle w:val="BodyText"/>
      </w:pPr>
      <w:r>
        <w:rPr>
          <w:bCs/>
          <w:b/>
        </w:rPr>
        <w:t xml:space="preserve">Date:</w:t>
      </w:r>
      <w:r>
        <w:t xml:space="preserve"> </w:t>
      </w:r>
      <w:r>
        <w:t xml:space="preserve">October 2023</w:t>
      </w:r>
    </w:p>
    <w:p>
      <w:pPr>
        <w:pStyle w:val="BodyText"/>
      </w:pPr>
      <w:r>
        <w:rPr>
          <w:bCs/>
          <w:b/>
        </w:rPr>
        <w:t xml:space="preserve">Location:</w:t>
      </w:r>
      <w:r>
        <w:t xml:space="preserve"> </w:t>
      </w:r>
      <w:r>
        <w:t xml:space="preserve">Yangon, Myanmar</w:t>
      </w:r>
    </w:p>
    <w:p>
      <w:pPr>
        <w:pStyle w:val="BodyText"/>
      </w:pPr>
      <w:r>
        <w:rPr>
          <w:bCs/>
          <w:b/>
        </w:rPr>
        <w:t xml:space="preserve">Prepared by:</w:t>
      </w:r>
      <w:r>
        <w:t xml:space="preserve"> </w:t>
      </w:r>
      <w:r>
        <w:t xml:space="preserve">Research and Development Division</w:t>
      </w:r>
    </w:p>
    <w:bookmarkEnd w:id="20"/>
    <w:p>
      <w:pPr>
        <w:pStyle w:val="BodyText"/>
      </w:pPr>
      <w:r>
        <w:t xml:space="preserve">1. Introduction</w:t>
      </w:r>
    </w:p>
    <w:p>
      <w:pPr>
        <w:pStyle w:val="BodyText"/>
      </w:pPr>
      <w:r>
        <w:t xml:space="preserve">This Experiment Protocol outlines the procedures and methodologies for assessing the performance and capabilities of Military Officers in the context of Myanmar Yangon. The primary objective is to evaluate the effectiveness of training programs, leadership skills, and operational readiness of Military Officers stationed in Yangon. This protocol is designed to ensure that all assessments are conducted in a standardized, ethical, and transparent manner, adhering to both local regulations and international best practices.</w:t>
      </w:r>
    </w:p>
    <w:p>
      <w:pPr>
        <w:pStyle w:val="BodyText"/>
      </w:pPr>
      <w:r>
        <w:t xml:space="preserve">The assessment will focus on various aspects, including strategic decision-making, tactical execution, communication skills, and adaptability to the unique challenges presented by the environment in Myanmar Yangon. By systematically evaluating these competencies, the protocol aims to identify areas for improvement and enhance the overall effectiveness of Military Officers in their roles.</w:t>
      </w:r>
    </w:p>
    <w:p>
      <w:pPr>
        <w:pStyle w:val="BodyText"/>
      </w:pPr>
      <w:r>
        <w:t xml:space="preserve">2. Objectives</w:t>
      </w:r>
    </w:p>
    <w:p>
      <w:pPr>
        <w:numPr>
          <w:ilvl w:val="0"/>
          <w:numId w:val="1001"/>
        </w:numPr>
        <w:pStyle w:val="Compact"/>
      </w:pPr>
      <w:r>
        <w:t xml:space="preserve">To assess the leadership and command capabilities of Military Officers in Myanmar Yangon.</w:t>
      </w:r>
    </w:p>
    <w:p>
      <w:pPr>
        <w:numPr>
          <w:ilvl w:val="0"/>
          <w:numId w:val="1001"/>
        </w:numPr>
        <w:pStyle w:val="Compact"/>
      </w:pPr>
      <w:r>
        <w:t xml:space="preserve">To evaluate the effectiveness of current training programs and identify gaps in skill development.</w:t>
      </w:r>
    </w:p>
    <w:p>
      <w:pPr>
        <w:numPr>
          <w:ilvl w:val="0"/>
          <w:numId w:val="1001"/>
        </w:numPr>
        <w:pStyle w:val="Compact"/>
      </w:pPr>
      <w:r>
        <w:t xml:space="preserve">To measure the operational readiness and response times of Military Officers in simulated scenarios.</w:t>
      </w:r>
    </w:p>
    <w:p>
      <w:pPr>
        <w:numPr>
          <w:ilvl w:val="0"/>
          <w:numId w:val="1001"/>
        </w:numPr>
        <w:pStyle w:val="Compact"/>
      </w:pPr>
      <w:r>
        <w:t xml:space="preserve">To gather data on the adaptability of Military Officers to the socio-political and environmental conditions in Yangon.</w:t>
      </w:r>
    </w:p>
    <w:p>
      <w:pPr>
        <w:numPr>
          <w:ilvl w:val="0"/>
          <w:numId w:val="1001"/>
        </w:numPr>
        <w:pStyle w:val="Compact"/>
      </w:pPr>
      <w:r>
        <w:t xml:space="preserve">To provide actionable recommendations for improving training and operational protocols.</w:t>
      </w:r>
    </w:p>
    <w:p>
      <w:pPr>
        <w:pStyle w:val="FirstParagraph"/>
      </w:pPr>
      <w:r>
        <w:t xml:space="preserve">3. Methodology</w:t>
      </w:r>
    </w:p>
    <w:p>
      <w:pPr>
        <w:pStyle w:val="BodyText"/>
      </w:pPr>
      <w:r>
        <w:t xml:space="preserve">The assessment will be conducted using a mixed-methods approach, combining quantitative and qualitative data collection techniques. The methodology includes the following components:</w:t>
      </w:r>
    </w:p>
    <w:p>
      <w:pPr>
        <w:numPr>
          <w:ilvl w:val="0"/>
          <w:numId w:val="1002"/>
        </w:numPr>
        <w:pStyle w:val="Compact"/>
      </w:pPr>
      <w:r>
        <w:rPr>
          <w:bCs/>
          <w:b/>
        </w:rPr>
        <w:t xml:space="preserve">Simulated Scenarios:</w:t>
      </w:r>
      <w:r>
        <w:t xml:space="preserve"> </w:t>
      </w:r>
      <w:r>
        <w:t xml:space="preserve">Military Officers will participate in a series of simulated scenarios designed to replicate real-world challenges they may face in Myanmar Yangon. These scenarios will test their decision-making, tactical execution, and leadership skills under pressure.</w:t>
      </w:r>
    </w:p>
    <w:p>
      <w:pPr>
        <w:numPr>
          <w:ilvl w:val="0"/>
          <w:numId w:val="1002"/>
        </w:numPr>
        <w:pStyle w:val="Compact"/>
      </w:pPr>
      <w:r>
        <w:rPr>
          <w:bCs/>
          <w:b/>
        </w:rPr>
        <w:t xml:space="preserve">Performance Metrics:</w:t>
      </w:r>
      <w:r>
        <w:t xml:space="preserve"> </w:t>
      </w:r>
      <w:r>
        <w:t xml:space="preserve">Key performance indicators (KPIs) will be established to measure the effectiveness of Military Officers in each scenario. These metrics will include response times, accuracy of decisions, communication efficiency, and team coordination.</w:t>
      </w:r>
    </w:p>
    <w:p>
      <w:pPr>
        <w:numPr>
          <w:ilvl w:val="0"/>
          <w:numId w:val="1002"/>
        </w:numPr>
        <w:pStyle w:val="Compact"/>
      </w:pPr>
      <w:r>
        <w:rPr>
          <w:bCs/>
          <w:b/>
        </w:rPr>
        <w:t xml:space="preserve">Surveys and Interviews:</w:t>
      </w:r>
      <w:r>
        <w:t xml:space="preserve"> </w:t>
      </w:r>
      <w:r>
        <w:t xml:space="preserve">Post-scenario surveys and interviews will be conducted to gather feedback from Military Officers and their peers. This qualitative data will provide insights into their perceptions of the training and their confidence in their abilities.</w:t>
      </w:r>
    </w:p>
    <w:p>
      <w:pPr>
        <w:numPr>
          <w:ilvl w:val="0"/>
          <w:numId w:val="1002"/>
        </w:numPr>
        <w:pStyle w:val="Compact"/>
      </w:pPr>
      <w:r>
        <w:rPr>
          <w:bCs/>
          <w:b/>
        </w:rPr>
        <w:t xml:space="preserve">Observational Studies:</w:t>
      </w:r>
      <w:r>
        <w:t xml:space="preserve"> </w:t>
      </w:r>
      <w:r>
        <w:t xml:space="preserve">Trained observers will monitor the performance of Military Officers during the scenarios, noting any deviations from standard protocols and areas where improvements can be made.</w:t>
      </w:r>
    </w:p>
    <w:p>
      <w:pPr>
        <w:pStyle w:val="FirstParagraph"/>
      </w:pPr>
      <w:r>
        <w:t xml:space="preserve">4. Participants</w:t>
      </w:r>
    </w:p>
    <w:p>
      <w:pPr>
        <w:pStyle w:val="BodyText"/>
      </w:pPr>
      <w:r>
        <w:t xml:space="preserve">The participants in this experiment will be Military Officers stationed in Myanmar Yangon. The selection criteria for participants include:</w:t>
      </w:r>
    </w:p>
    <w:p>
      <w:pPr>
        <w:numPr>
          <w:ilvl w:val="0"/>
          <w:numId w:val="1003"/>
        </w:numPr>
        <w:pStyle w:val="Compact"/>
      </w:pPr>
      <w:r>
        <w:t xml:space="preserve">Rank: Lieutenant to Colonel</w:t>
      </w:r>
    </w:p>
    <w:p>
      <w:pPr>
        <w:numPr>
          <w:ilvl w:val="0"/>
          <w:numId w:val="1003"/>
        </w:numPr>
        <w:pStyle w:val="Compact"/>
      </w:pPr>
      <w:r>
        <w:t xml:space="preserve">Experience: Minimum of 3 years of service</w:t>
      </w:r>
    </w:p>
    <w:p>
      <w:pPr>
        <w:numPr>
          <w:ilvl w:val="0"/>
          <w:numId w:val="1003"/>
        </w:numPr>
        <w:pStyle w:val="Compact"/>
      </w:pPr>
      <w:r>
        <w:t xml:space="preserve">Location: Currently stationed in Yangon</w:t>
      </w:r>
    </w:p>
    <w:p>
      <w:pPr>
        <w:pStyle w:val="FirstParagraph"/>
      </w:pPr>
      <w:r>
        <w:t xml:space="preserve">A total of 50 Military Officers will be selected to participate in the assessment. Participants will be randomly assigned to different scenarios to ensure a diverse range of experiences and perspectives.</w:t>
      </w:r>
    </w:p>
    <w:p>
      <w:pPr>
        <w:pStyle w:val="BodyText"/>
      </w:pPr>
      <w:r>
        <w:t xml:space="preserve">5. Procedures</w:t>
      </w:r>
    </w:p>
    <w:p>
      <w:pPr>
        <w:pStyle w:val="BodyText"/>
      </w:pPr>
      <w:r>
        <w:t xml:space="preserve">The assessment will be conducted over a period of four weeks, with the following procedures:</w:t>
      </w:r>
    </w:p>
    <w:p>
      <w:pPr>
        <w:numPr>
          <w:ilvl w:val="0"/>
          <w:numId w:val="1004"/>
        </w:numPr>
        <w:pStyle w:val="Compact"/>
      </w:pPr>
      <w:r>
        <w:rPr>
          <w:bCs/>
          <w:b/>
        </w:rPr>
        <w:t xml:space="preserve">Pre-Assessment Briefing:</w:t>
      </w:r>
      <w:r>
        <w:t xml:space="preserve"> </w:t>
      </w:r>
      <w:r>
        <w:t xml:space="preserve">All participants will attend a briefing session to explain the objectives, procedures, and expectations of the assessment. This session will also provide an opportunity for participants to ask questions and clarify any concerns.</w:t>
      </w:r>
    </w:p>
    <w:p>
      <w:pPr>
        <w:numPr>
          <w:ilvl w:val="0"/>
          <w:numId w:val="1004"/>
        </w:numPr>
        <w:pStyle w:val="Compact"/>
      </w:pPr>
      <w:r>
        <w:rPr>
          <w:bCs/>
          <w:b/>
        </w:rPr>
        <w:t xml:space="preserve">Scenario Execution:</w:t>
      </w:r>
      <w:r>
        <w:t xml:space="preserve"> </w:t>
      </w:r>
      <w:r>
        <w:t xml:space="preserve">Participants will be assigned to different scenarios, which will be conducted in a controlled environment. Each scenario will last approximately 2 hours, during which participants will be evaluated based on the established KPIs.</w:t>
      </w:r>
    </w:p>
    <w:p>
      <w:pPr>
        <w:numPr>
          <w:ilvl w:val="0"/>
          <w:numId w:val="1004"/>
        </w:numPr>
        <w:pStyle w:val="Compact"/>
      </w:pPr>
      <w:r>
        <w:rPr>
          <w:bCs/>
          <w:b/>
        </w:rPr>
        <w:t xml:space="preserve">Data Collection:</w:t>
      </w:r>
      <w:r>
        <w:t xml:space="preserve"> </w:t>
      </w:r>
      <w:r>
        <w:t xml:space="preserve">Data will be collected through performance metrics, surveys, interviews, and observational studies. All data will be recorded and stored securely to ensure confidentiality and integrity.</w:t>
      </w:r>
    </w:p>
    <w:p>
      <w:pPr>
        <w:numPr>
          <w:ilvl w:val="0"/>
          <w:numId w:val="1004"/>
        </w:numPr>
        <w:pStyle w:val="Compact"/>
      </w:pPr>
      <w:r>
        <w:rPr>
          <w:bCs/>
          <w:b/>
        </w:rPr>
        <w:t xml:space="preserve">Post-Assessment Debriefing:</w:t>
      </w:r>
      <w:r>
        <w:t xml:space="preserve"> </w:t>
      </w:r>
      <w:r>
        <w:t xml:space="preserve">After each scenario, participants will attend a debriefing session to discuss their performance and receive feedback. This session will also provide an opportunity for participants to share their experiences and insights.</w:t>
      </w:r>
    </w:p>
    <w:p>
      <w:pPr>
        <w:pStyle w:val="FirstParagraph"/>
      </w:pPr>
      <w:r>
        <w:t xml:space="preserve">6. Ethical Considerations</w:t>
      </w:r>
    </w:p>
    <w:p>
      <w:pPr>
        <w:pStyle w:val="BodyText"/>
      </w:pPr>
      <w:r>
        <w:t xml:space="preserve">This experiment protocol adheres to the highest ethical standards to ensure the well-being and rights of all participants. The following ethical considerations will be observed:</w:t>
      </w:r>
    </w:p>
    <w:p>
      <w:pPr>
        <w:numPr>
          <w:ilvl w:val="0"/>
          <w:numId w:val="1005"/>
        </w:numPr>
        <w:pStyle w:val="Compact"/>
      </w:pPr>
      <w:r>
        <w:rPr>
          <w:bCs/>
          <w:b/>
        </w:rPr>
        <w:t xml:space="preserve">Informed Consent:</w:t>
      </w:r>
      <w:r>
        <w:t xml:space="preserve"> </w:t>
      </w:r>
      <w:r>
        <w:t xml:space="preserve">All participants will provide informed consent before participating in the assessment. They will be fully informed of the objectives, procedures, and potential risks involved.</w:t>
      </w:r>
    </w:p>
    <w:p>
      <w:pPr>
        <w:numPr>
          <w:ilvl w:val="0"/>
          <w:numId w:val="1005"/>
        </w:numPr>
        <w:pStyle w:val="Compact"/>
      </w:pPr>
      <w:r>
        <w:rPr>
          <w:bCs/>
          <w:b/>
        </w:rPr>
        <w:t xml:space="preserve">Confidentiality:</w:t>
      </w:r>
      <w:r>
        <w:t xml:space="preserve"> </w:t>
      </w:r>
      <w:r>
        <w:t xml:space="preserve">All data collected during the assessment will be kept confidential and used solely for the purposes of this study. Participants' identities will be anonymized in all reports and publications.</w:t>
      </w:r>
    </w:p>
    <w:p>
      <w:pPr>
        <w:numPr>
          <w:ilvl w:val="0"/>
          <w:numId w:val="1005"/>
        </w:numPr>
        <w:pStyle w:val="Compact"/>
      </w:pPr>
      <w:r>
        <w:rPr>
          <w:bCs/>
          <w:b/>
        </w:rPr>
        <w:t xml:space="preserve">Voluntary Participation:</w:t>
      </w:r>
      <w:r>
        <w:t xml:space="preserve"> </w:t>
      </w:r>
      <w:r>
        <w:t xml:space="preserve">Participation in the assessment is entirely voluntary. Participants may withdraw from the study at any time without any negative consequences.</w:t>
      </w:r>
    </w:p>
    <w:p>
      <w:pPr>
        <w:numPr>
          <w:ilvl w:val="0"/>
          <w:numId w:val="1005"/>
        </w:numPr>
        <w:pStyle w:val="Compact"/>
      </w:pPr>
      <w:r>
        <w:rPr>
          <w:bCs/>
          <w:b/>
        </w:rPr>
        <w:t xml:space="preserve">Minimizing Risk:</w:t>
      </w:r>
      <w:r>
        <w:t xml:space="preserve"> </w:t>
      </w:r>
      <w:r>
        <w:t xml:space="preserve">All scenarios will be designed to minimize physical and psychological risks to participants. Safety protocols will be strictly enforced to ensure the well-being of all participants.</w:t>
      </w:r>
    </w:p>
    <w:p>
      <w:pPr>
        <w:pStyle w:val="FirstParagraph"/>
      </w:pPr>
      <w:r>
        <w:t xml:space="preserve">7. Data Analysis</w:t>
      </w:r>
    </w:p>
    <w:p>
      <w:pPr>
        <w:pStyle w:val="BodyText"/>
      </w:pPr>
      <w:r>
        <w:t xml:space="preserve">The data collected during the assessment will be analyzed using both quantitative and qualitative methods. Quantitative data will be analyzed using statistical software to identify trends and patterns in performance metrics. Qualitative data from surveys and interviews will be analyzed using thematic analysis to identify common themes and insights.</w:t>
      </w:r>
    </w:p>
    <w:p>
      <w:pPr>
        <w:pStyle w:val="BodyText"/>
      </w:pPr>
      <w:r>
        <w:t xml:space="preserve">The results of the analysis will be used to evaluate the effectiveness of the training programs and identify areas for improvement. Recommendations will be made based on the findings to enhance the capabilities of Military Officers in Myanmar Yangon.</w:t>
      </w:r>
    </w:p>
    <w:p>
      <w:pPr>
        <w:pStyle w:val="BodyText"/>
      </w:pPr>
      <w:r>
        <w:t xml:space="preserve">8. Conclusion</w:t>
      </w:r>
    </w:p>
    <w:p>
      <w:pPr>
        <w:pStyle w:val="BodyText"/>
      </w:pPr>
      <w:r>
        <w:t xml:space="preserve">This Experiment Protocol provides a comprehensive framework for assessing the performance and capabilities of Military Officers in Myanmar Yangon. By following the outlined procedures and methodologies, the assessment aims to provide valuable insights into the effectiveness of current training programs and identify areas for improvement. The findings of this study will contribute to the ongoing development and enhancement of Military Officers' skills and readiness, ultimately benefiting the security and stability of Myanmar Yangon.</w:t>
      </w:r>
    </w:p>
    <w:p>
      <w:pPr>
        <w:pStyle w:val="BodyText"/>
      </w:pPr>
      <w:r>
        <w:rPr>
          <w:bCs/>
          <w:b/>
        </w:rPr>
        <w:t xml:space="preserve">Note:</w:t>
      </w:r>
      <w:r>
        <w:t xml:space="preserve"> </w:t>
      </w:r>
      <w:r>
        <w:t xml:space="preserve">This document is intended for internal use only and should not be distributed without authorization. Any modifications to this protocol must be approved by the Research and Development Division.</w:t>
      </w:r>
    </w:p>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Symbol">
    <w:panose1 w:val="02000500000000000000"/>
    <w:charset w:val="02"/>
    <w:family w:val="auto"/>
    <w:pitch w:val="variable"/>
    <w:sig w:usb0="00000000" w:usb1="00000000" w:usb2="00010000" w:usb3="00000000" w:csb0="80000000" w:csb1="00000000"/>
  </w:font>
  <w:font w:name="Times New Roman">
    <w:panose1 w:val="02020603050405020304"/>
    <w:charset w:val="00"/>
    <w:family w:val="auto"/>
    <w:pitch w:val="variable"/>
    <w:sig w:usb0="00000003" w:usb1="00000000" w:usb2="00000000" w:usb3="00000000" w:csb0="00000001" w:csb1="00000000"/>
  </w:font>
  <w:font w:name="Courier New">
    <w:panose1 w:val="02070309020205020404"/>
    <w:charset w:val="00"/>
    <w:family w:val="auto"/>
    <w:pitch w:val="variable"/>
    <w:sig w:usb0="00000003" w:usb1="00000000" w:usb2="00000000" w:usb3="00000000" w:csb0="00000001" w:csb1="00000000"/>
  </w:font>
  <w:font w:name="Wingdings">
    <w:panose1 w:val="05020102010804080708"/>
    <w:charset w:val="02"/>
    <w:family w:val="auto"/>
    <w:pitch w:val="variable"/>
    <w:sig w:usb0="00000000" w:usb1="00000000" w:usb2="00010000" w:usb3="00000000" w:csb0="80000000" w:csb1="00000000"/>
  </w:font>
  <w:font w:name="Cambria">
    <w:panose1 w:val="02040503050406030204"/>
    <w:charset w:val="00"/>
    <w:family w:val="auto"/>
    <w:pitch w:val="variable"/>
    <w:sig w:usb0="00000003" w:usb1="00000000" w:usb2="00000000" w:usb3="00000000" w:csb0="00000001" w:csb1="00000000"/>
  </w:font>
  <w:font w:name="Calibri">
    <w:panose1 w:val="020F0502020204030204"/>
    <w:charset w:val="00"/>
    <w:family w:val="auto"/>
    <w:pitch w:val="variable"/>
    <w:sig w:usb0="00000003" w:usb1="00000000" w:usb2="00000000" w:usb3="00000000" w:csb0="00000001" w:csb1="00000000"/>
  </w:font>
  <w:font w:name="Arial">
    <w:panose1 w:val="020B0604020202020204"/>
    <w:charset w:val="00"/>
    <w:family w:val="auto"/>
    <w:pitch w:val="variable"/>
    <w:sig w:usb0="00000003" w:usb1="00000000" w:usb2="00000000" w:usb3="00000000" w:csb0="00000001"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A990"/>
    <w:multiLevelType w:val="multilevel"/>
    <w:lvl w:ilvl="0">
      <w:numFmt w:val="bullet"/>
      <w:lvlText w:val=" "/>
      <w:lvlJc w:val="left"/>
      <w:pPr>
        <w:ind w:left="720" w:hanging="480"/>
      </w:pPr>
    </w:lvl>
    <w:lvl w:ilvl="1">
      <w:numFmt w:val="bullet"/>
      <w:lvlText w:val=" "/>
      <w:lvlJc w:val="left"/>
      <w:pPr>
        <w:ind w:left="1440" w:hanging="480"/>
      </w:pPr>
    </w:lvl>
    <w:lvl w:ilvl="2">
      <w:numFmt w:val="bullet"/>
      <w:lvlText w:val=" "/>
      <w:lvlJc w:val="left"/>
      <w:pPr>
        <w:ind w:left="2160" w:hanging="480"/>
      </w:pPr>
    </w:lvl>
    <w:lvl w:ilvl="3">
      <w:numFmt w:val="bullet"/>
      <w:lvlText w:val=" "/>
      <w:lvlJc w:val="left"/>
      <w:pPr>
        <w:ind w:left="2880" w:hanging="480"/>
      </w:pPr>
    </w:lvl>
    <w:lvl w:ilvl="4">
      <w:numFmt w:val="bullet"/>
      <w:lvlText w:val=" "/>
      <w:lvlJc w:val="left"/>
      <w:pPr>
        <w:ind w:left="3600" w:hanging="480"/>
      </w:pPr>
    </w:lvl>
    <w:lvl w:ilvl="5">
      <w:numFmt w:val="bullet"/>
      <w:lvlText w:val=" "/>
      <w:lvlJc w:val="left"/>
      <w:pPr>
        <w:ind w:left="4320" w:hanging="480"/>
      </w:pPr>
    </w:lvl>
    <w:lvl w:ilvl="6">
      <w:numFmt w:val="bullet"/>
      <w:lvlText w:val=" "/>
      <w:lvlJc w:val="left"/>
      <w:pPr>
        <w:ind w:left="5040" w:hanging="480"/>
      </w:pPr>
    </w:lvl>
    <w:lvl w:ilvl="7">
      <w:numFmt w:val="bullet"/>
      <w:lvlText w:val=" "/>
      <w:lvlJc w:val="left"/>
      <w:pPr>
        <w:ind w:left="5760" w:hanging="480"/>
      </w:pPr>
    </w:lvl>
    <w:lvl w:ilvl="8">
      <w:numFmt w:val="bullet"/>
      <w:lvlText w:val=" "/>
      <w:lvlJc w:val="left"/>
      <w:pPr>
        <w:ind w:left="6480" w:hanging="480"/>
      </w:pPr>
    </w:lvl>
  </w:abstractNum>
  <w:abstractNum w:abstractNumId="991">
    <w:nsid w:val="A991"/>
    <w:multiLevelType w:val="multilevel"/>
    <w:lvl w:ilvl="0">
      <w:numFmt w:val="bullet"/>
      <w:lvlText w:val="•"/>
      <w:lvlJc w:val="left"/>
      <w:pPr>
        <w:ind w:left="720" w:hanging="480"/>
      </w:pPr>
    </w:lvl>
    <w:lvl w:ilvl="1">
      <w:numFmt w:val="bullet"/>
      <w:lvlText w:val="–"/>
      <w:lvlJc w:val="left"/>
      <w:pPr>
        <w:ind w:left="1440" w:hanging="480"/>
      </w:pPr>
    </w:lvl>
    <w:lvl w:ilvl="2">
      <w:numFmt w:val="bullet"/>
      <w:lvlText w:val="•"/>
      <w:lvlJc w:val="left"/>
      <w:pPr>
        <w:ind w:left="2160" w:hanging="480"/>
      </w:pPr>
    </w:lvl>
    <w:lvl w:ilvl="3">
      <w:numFmt w:val="bullet"/>
      <w:lvlText w:val="–"/>
      <w:lvlJc w:val="left"/>
      <w:pPr>
        <w:ind w:left="2880" w:hanging="480"/>
      </w:pPr>
    </w:lvl>
    <w:lvl w:ilvl="4">
      <w:numFmt w:val="bullet"/>
      <w:lvlText w:val="•"/>
      <w:lvlJc w:val="left"/>
      <w:pPr>
        <w:ind w:left="3600" w:hanging="480"/>
      </w:pPr>
    </w:lvl>
    <w:lvl w:ilvl="5">
      <w:numFmt w:val="bullet"/>
      <w:lvlText w:val="–"/>
      <w:lvlJc w:val="left"/>
      <w:pPr>
        <w:ind w:left="4320" w:hanging="480"/>
      </w:pPr>
    </w:lvl>
    <w:lvl w:ilvl="6">
      <w:numFmt w:val="bullet"/>
      <w:lvlText w:val="•"/>
      <w:lvlJc w:val="left"/>
      <w:pPr>
        <w:ind w:left="5040" w:hanging="480"/>
      </w:pPr>
    </w:lvl>
    <w:lvl w:ilvl="7">
      <w:numFmt w:val="bullet"/>
      <w:lvlText w:val="–"/>
      <w:lvlJc w:val="left"/>
      <w:pPr>
        <w:ind w:left="5760" w:hanging="480"/>
      </w:pPr>
    </w:lvl>
    <w:lvl w:ilvl="8">
      <w:numFmt w:val="bullet"/>
      <w:lvlText w:val="•"/>
      <w:lvlJc w:val="left"/>
      <w:pPr>
        <w:ind w:left="6480" w:hanging="480"/>
      </w:pPr>
    </w:lvl>
  </w:abstractNum>
  <w:abstractNum w:abstractNumId="99201">
    <w:nsid w:val="A99201"/>
    <w:multiLevelType w:val="multilevel"/>
    <w:lvl w:ilvl="0">
      <w:start w:val="1"/>
      <w:numFmt w:val="decimal"/>
      <w:lvlText w:val="%1."/>
      <w:lvlJc w:val="left"/>
      <w:pPr>
        <w:ind w:left="720" w:hanging="480"/>
      </w:pPr>
    </w:lvl>
    <w:lvl w:ilvl="1">
      <w:start w:val="1"/>
      <w:numFmt w:val="lowerLetter"/>
      <w:lvlText w:val="%2."/>
      <w:lvlJc w:val="left"/>
      <w:pPr>
        <w:ind w:left="1440" w:hanging="480"/>
      </w:pPr>
    </w:lvl>
    <w:lvl w:ilvl="2">
      <w:start w:val="1"/>
      <w:numFmt w:val="lowerRoman"/>
      <w:lvlText w:val="%3."/>
      <w:lvlJc w:val="left"/>
      <w:pPr>
        <w:ind w:left="2160" w:hanging="480"/>
      </w:pPr>
    </w:lvl>
    <w:lvl w:ilvl="3">
      <w:start w:val="1"/>
      <w:numFmt w:val="decimal"/>
      <w:lvlText w:val="%4."/>
      <w:lvlJc w:val="left"/>
      <w:pPr>
        <w:ind w:left="2880" w:hanging="480"/>
      </w:pPr>
    </w:lvl>
    <w:lvl w:ilvl="4">
      <w:start w:val="1"/>
      <w:numFmt w:val="lowerLetter"/>
      <w:lvlText w:val="%5."/>
      <w:lvlJc w:val="left"/>
      <w:pPr>
        <w:ind w:left="3600" w:hanging="480"/>
      </w:pPr>
    </w:lvl>
    <w:lvl w:ilvl="5">
      <w:start w:val="1"/>
      <w:numFmt w:val="lowerRoman"/>
      <w:lvlText w:val="%6."/>
      <w:lvlJc w:val="left"/>
      <w:pPr>
        <w:ind w:left="4320" w:hanging="480"/>
      </w:pPr>
    </w:lvl>
    <w:lvl w:ilvl="6">
      <w:start w:val="1"/>
      <w:numFmt w:val="decimal"/>
      <w:lvlText w:val="%7."/>
      <w:lvlJc w:val="left"/>
      <w:pPr>
        <w:ind w:left="5040" w:hanging="480"/>
      </w:pPr>
    </w:lvl>
    <w:lvl w:ilvl="7">
      <w:start w:val="1"/>
      <w:numFmt w:val="lowerLetter"/>
      <w:lvlText w:val="%8."/>
      <w:lvlJc w:val="left"/>
      <w:pPr>
        <w:ind w:left="5760" w:hanging="480"/>
      </w:pPr>
    </w:lvl>
    <w:lvl w:ilvl="8">
      <w:start w:val="1"/>
      <w:numFmt w:val="lowerRoman"/>
      <w:lvlText w:val="%9."/>
      <w:lvlJc w:val="left"/>
      <w:pPr>
        <w:ind w:left="6480" w:hanging="480"/>
      </w:pPr>
    </w:lvl>
  </w:abstractNum>
  <w:num w:numId="1000">
    <w:abstractNumId w:val="990"/>
  </w:num>
  <w:num w:numId="1001">
    <w:abstractNumId w:val="991"/>
  </w:num>
  <w:num w:numId="1002">
    <w:abstractNumId w:val="991"/>
  </w:num>
  <w:num w:numId="1003">
    <w:abstractNumId w:val="991"/>
  </w:num>
  <w:num w:numId="1004">
    <w:abstractNumId w:val="9920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stylePaneFormatFilter w:val="0004"/>
  <w:footnotePr>
    <w:footnote w:id="-1"/>
    <w:footnote w:id="0"/>
  </w:footnotePr>
  <w:rsids>
  </w:rsids>
  <w:clrSchemeMapping w:accent1="accent1" w:accent2="accent2" w:accent3="accent3" w:accent4="accent4" w:accent5="accent5" w:accent6="accent6" w:bg1="light1" w:bg2="light2" w:followedHyperlink="followedHyperlink" w:hyperlink="hyperlink" w:t1="dark1" w:t2="dark2"/>
  <w:zoom w:percent="100"/>
  <w:embedSystemFonts/>
  <w:proofState w:grammar="clean" w:spelling="clean"/>
  <w:doNotTrackMoves/>
  <w:defaultTabStop w:val="720"/>
  <w:drawingGridHorizontalSpacing w:val="360"/>
  <w:drawingGridVerticalSpacing w:val="360"/>
  <w:displayHorizontalDrawingGridEvery w:val="0"/>
  <w:displayVerticalDrawingGridEvery w:val="0"/>
  <w:characterSpacingControl w:val="doNotCompress"/>
  <w:savePreviewPicture/>
  <m:mathPr>
    <m:mathFont m:val="Cambria Math"/>
    <m:brkBin m:val="before"/>
    <m:brkBinSub m:val="--"/>
    <m:smallFrac m:val="0"/>
    <m:dispDef/>
    <m:lMargin m:val="0"/>
    <m:rMargin m:val="0"/>
    <m:wrapRight/>
    <m:intLim m:val="subSup"/>
    <m:naryLim m:val="undOvr"/>
  </m:mathPr>
  <w:themeFontLang w:val="en-U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HAnsi" w:hAnsiTheme="minorHAnsi"/>
        <w:sz w:val="24"/>
        <w:szCs w:val="24"/>
        <w:lang w:bidi="ar-SA" w:eastAsia="en-US" w:val="en"/>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pPr>
      <w:spacing w:after="180" w:before="180"/>
    </w:pPr>
    <w:qFormat/>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qFormat/>
    <w:pPr>
      <w:keepNext/>
      <w:keepLines/>
      <w:spacing w:after="240" w:before="480"/>
      <w:jc w:val="center"/>
    </w:pPr>
    <w:rPr>
      <w:rFonts w:asciiTheme="majorHAnsi" w:cstheme="majorBidi" w:eastAsiaTheme="majorEastAsia" w:hAnsiTheme="majorHAnsi"/>
      <w:b/>
      <w:bCs/>
      <w:color w:themeColor="accent1" w:themeShade="B5" w:val="345A8A"/>
      <w:sz w:val="36"/>
      <w:szCs w:val="36"/>
    </w:rPr>
  </w:style>
  <w:style w:styleId="Subtitle" w:type="paragraph">
    <w:name w:val="Subtitle"/>
    <w:basedOn w:val="Title"/>
    <w:next w:val="BodyText"/>
    <w:qFormat/>
    <w:pPr>
      <w:keepNext/>
      <w:keepLines/>
      <w:spacing w:after="240" w:before="240"/>
      <w:jc w:val="center"/>
    </w:pPr>
    <w:rPr>
      <w:sz w:val="30"/>
      <w:szCs w:val="30"/>
    </w:rPr>
  </w:style>
  <w:style w:customStyle="1" w:styleId="Author" w:type="paragraph">
    <w:name w:val="Author"/>
    <w:next w:val="BodyText"/>
    <w:qFormat/>
    <w:pPr>
      <w:keepNext/>
      <w:keepLines/>
      <w:jc w:val="center"/>
    </w:pPr>
  </w:style>
  <w:style w:styleId="Date" w:type="paragraph">
    <w:name w:val="Date"/>
    <w:next w:val="BodyText"/>
    <w:qFormat/>
    <w:pPr>
      <w:keepNext/>
      <w:keepLines/>
      <w:jc w:val="center"/>
    </w:pPr>
  </w:style>
  <w:style w:customStyle="1" w:styleId="Abstract" w:type="paragraph">
    <w:name w:val="Abstract"/>
    <w:basedOn w:val="Normal"/>
    <w:next w:val="BodyText"/>
    <w:qFormat/>
    <w:pPr>
      <w:keepNext/>
      <w:keepLines/>
      <w:spacing w:after="300" w:before="3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uiPriority w:val="9"/>
    <w:qFormat/>
    <w:pPr>
      <w:keepNext/>
      <w:keepLines/>
      <w:spacing w:after="0" w:before="480"/>
      <w:outlineLvl w:val="0"/>
    </w:pPr>
    <w:rPr>
      <w:rFonts w:asciiTheme="majorHAnsi" w:cstheme="majorBidi" w:eastAsiaTheme="majorEastAsia" w:hAnsiTheme="majorHAnsi"/>
      <w:b/>
      <w:bCs/>
      <w:color w:themeColor="accent1" w:val="4F81BD"/>
      <w:sz w:val="32"/>
      <w:szCs w:val="32"/>
    </w:rPr>
  </w:style>
  <w:style w:styleId="Heading2" w:type="paragraph">
    <w:name w:val="Heading 2"/>
    <w:basedOn w:val="Normal"/>
    <w:next w:val="BodyText"/>
    <w:uiPriority w:val="9"/>
    <w:unhideWhenUsed/>
    <w:qFormat/>
    <w:pPr>
      <w:keepNext/>
      <w:keepLines/>
      <w:spacing w:after="0" w:before="200"/>
      <w:outlineLvl w:val="1"/>
    </w:pPr>
    <w:rPr>
      <w:rFonts w:asciiTheme="majorHAnsi" w:cstheme="majorBidi" w:eastAsiaTheme="majorEastAsia" w:hAnsiTheme="majorHAnsi"/>
      <w:b/>
      <w:bCs/>
      <w:color w:themeColor="accent1" w:val="4F81BD"/>
      <w:sz w:val="28"/>
      <w:szCs w:val="28"/>
    </w:rPr>
  </w:style>
  <w:style w:styleId="Heading3" w:type="paragraph">
    <w:name w:val="Heading 3"/>
    <w:basedOn w:val="Normal"/>
    <w:next w:val="BodyText"/>
    <w:uiPriority w:val="9"/>
    <w:unhideWhenUsed/>
    <w:qFormat/>
    <w:pPr>
      <w:keepNext/>
      <w:keepLines/>
      <w:spacing w:after="0" w:before="200"/>
      <w:outlineLvl w:val="2"/>
    </w:pPr>
    <w:rPr>
      <w:rFonts w:asciiTheme="majorHAnsi" w:cstheme="majorBidi" w:eastAsiaTheme="majorEastAsia" w:hAnsiTheme="majorHAnsi"/>
      <w:b/>
      <w:bCs/>
      <w:color w:themeColor="accent1" w:val="4F81BD"/>
      <w:sz w:val="24"/>
      <w:szCs w:val="24"/>
    </w:rPr>
  </w:style>
  <w:style w:styleId="Heading4" w:type="paragraph">
    <w:name w:val="Heading 4"/>
    <w:basedOn w:val="Normal"/>
    <w:next w:val="BodyText"/>
    <w:uiPriority w:val="9"/>
    <w:unhideWhenUsed/>
    <w:qFormat/>
    <w:pPr>
      <w:keepNext/>
      <w:keepLines/>
      <w:spacing w:after="0" w:before="200"/>
      <w:outlineLvl w:val="3"/>
    </w:pPr>
    <w:rPr>
      <w:rFonts w:asciiTheme="majorHAnsi" w:cstheme="majorBidi" w:eastAsiaTheme="majorEastAsia" w:hAnsiTheme="majorHAnsi"/>
      <w:i/>
      <w:bCs/>
      <w:color w:themeColor="accent1" w:val="4F81BD"/>
      <w:sz w:val="24"/>
      <w:szCs w:val="24"/>
    </w:rPr>
  </w:style>
  <w:style w:styleId="Heading5" w:type="paragraph">
    <w:name w:val="Heading 5"/>
    <w:basedOn w:val="Normal"/>
    <w:next w:val="BodyText"/>
    <w:uiPriority w:val="9"/>
    <w:unhideWhenUsed/>
    <w:qFormat/>
    <w:pPr>
      <w:keepNext/>
      <w:keepLines/>
      <w:spacing w:after="0" w:before="200"/>
      <w:outlineLvl w:val="4"/>
    </w:pPr>
    <w:rPr>
      <w:rFonts w:asciiTheme="majorHAnsi" w:cstheme="majorBidi" w:eastAsiaTheme="majorEastAsia" w:hAnsiTheme="majorHAnsi"/>
      <w:iCs/>
      <w:color w:themeColor="accent1" w:val="4F81BD"/>
      <w:sz w:val="24"/>
      <w:szCs w:val="24"/>
    </w:rPr>
  </w:style>
  <w:style w:styleId="Heading6" w:type="paragraph">
    <w:name w:val="Heading 6"/>
    <w:basedOn w:val="Normal"/>
    <w:next w:val="BodyText"/>
    <w:uiPriority w:val="9"/>
    <w:unhideWhenUsed/>
    <w:qFormat/>
    <w:pPr>
      <w:keepNext/>
      <w:keepLines/>
      <w:spacing w:after="0" w:before="200"/>
      <w:outlineLvl w:val="5"/>
    </w:pPr>
    <w:rPr>
      <w:rFonts w:asciiTheme="majorHAnsi" w:cstheme="majorBidi" w:eastAsiaTheme="majorEastAsia" w:hAnsiTheme="majorHAnsi"/>
      <w:color w:themeColor="accent1" w:val="4F81BD"/>
      <w:sz w:val="24"/>
      <w:szCs w:val="24"/>
    </w:rPr>
  </w:style>
  <w:style w:styleId="Heading7" w:type="paragraph">
    <w:name w:val="Heading 7"/>
    <w:basedOn w:val="Normal"/>
    <w:next w:val="BodyText"/>
    <w:uiPriority w:val="9"/>
    <w:unhideWhenUsed/>
    <w:qFormat/>
    <w:pPr>
      <w:keepNext/>
      <w:keepLines/>
      <w:spacing w:after="0" w:before="200"/>
      <w:outlineLvl w:val="6"/>
    </w:pPr>
    <w:rPr>
      <w:rFonts w:asciiTheme="majorHAnsi" w:cstheme="majorBidi" w:eastAsiaTheme="majorEastAsia" w:hAnsiTheme="majorHAnsi"/>
      <w:color w:themeColor="accent1" w:val="4F81BD"/>
      <w:sz w:val="24"/>
      <w:szCs w:val="24"/>
    </w:rPr>
  </w:style>
  <w:style w:styleId="Heading8" w:type="paragraph">
    <w:name w:val="Heading 8"/>
    <w:basedOn w:val="Normal"/>
    <w:next w:val="BodyText"/>
    <w:uiPriority w:val="9"/>
    <w:unhideWhenUsed/>
    <w:qFormat/>
    <w:pPr>
      <w:keepNext/>
      <w:keepLines/>
      <w:spacing w:after="0" w:before="200"/>
      <w:outlineLvl w:val="7"/>
    </w:pPr>
    <w:rPr>
      <w:rFonts w:asciiTheme="majorHAnsi" w:cstheme="majorBidi" w:eastAsiaTheme="majorEastAsia" w:hAnsiTheme="majorHAnsi"/>
      <w:color w:themeColor="accent1" w:val="4F81BD"/>
      <w:sz w:val="24"/>
      <w:szCs w:val="24"/>
    </w:rPr>
  </w:style>
  <w:style w:styleId="Heading9" w:type="paragraph">
    <w:name w:val="Heading 9"/>
    <w:basedOn w:val="Normal"/>
    <w:next w:val="BodyText"/>
    <w:uiPriority w:val="9"/>
    <w:unhideWhenUsed/>
    <w:qFormat/>
    <w:pPr>
      <w:keepNext/>
      <w:keepLines/>
      <w:spacing w:after="0" w:before="200"/>
      <w:outlineLvl w:val="8"/>
    </w:pPr>
    <w:rPr>
      <w:rFonts w:asciiTheme="majorHAnsi" w:cstheme="majorBidi" w:eastAsiaTheme="majorEastAsia" w:hAnsiTheme="majorHAnsi"/>
      <w:color w:themeColor="accent1" w:val="4F81BD"/>
      <w:sz w:val="24"/>
      <w:szCs w:val="24"/>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blPr>
        <w:jc w:val="left"/>
        <w:tblInd w:type="dxa" w:w="0"/>
      </w:tblPr>
      <w:trPr>
        <w:jc w:val="left"/>
      </w:trPr>
      <w:tcPr>
        <w:vAlign w:val="bottom"/>
        <w:tcBorders>
          <w:bottom w:val="single"/>
        </w:tcBorders>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color w:val="007020"/>
      <w:b/>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color w:val="008000"/>
      <w:b/>
    </w:rPr>
  </w:style>
  <w:style w:type="character" w:customStyle="1" w:styleId="CommentTok">
    <w:name w:val="CommentTok"/>
    <w:basedOn w:val="VerbatimChar"/>
    <w:rPr>
      <w:color w:val="60a0b0"/>
      <w:i/>
    </w:rPr>
  </w:style>
  <w:style w:type="character" w:customStyle="1" w:styleId="DocumentationTok">
    <w:name w:val="DocumentationTok"/>
    <w:basedOn w:val="VerbatimChar"/>
    <w:rPr>
      <w:color w:val="ba2121"/>
      <w:i/>
    </w:rPr>
  </w:style>
  <w:style w:type="character" w:customStyle="1" w:styleId="AnnotationTok">
    <w:name w:val="AnnotationTok"/>
    <w:basedOn w:val="VerbatimChar"/>
    <w:rPr>
      <w:color w:val="60a0b0"/>
      <w:b/>
      <w:i/>
    </w:rPr>
  </w:style>
  <w:style w:type="character" w:customStyle="1" w:styleId="CommentVarTok">
    <w:name w:val="CommentVarTok"/>
    <w:basedOn w:val="VerbatimChar"/>
    <w:rPr>
      <w:color w:val="60a0b0"/>
      <w:b/>
      <w:i/>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color w:val="007020"/>
      <w:b/>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color w:val="60a0b0"/>
      <w:b/>
      <w:i/>
    </w:rPr>
  </w:style>
  <w:style w:type="character" w:customStyle="1" w:styleId="WarningTok">
    <w:name w:val="WarningTok"/>
    <w:basedOn w:val="VerbatimChar"/>
    <w:rPr>
      <w:color w:val="60a0b0"/>
      <w:b/>
      <w:i/>
    </w:rPr>
  </w:style>
  <w:style w:type="character" w:customStyle="1" w:styleId="AlertTok">
    <w:name w:val="AlertTok"/>
    <w:basedOn w:val="VerbatimChar"/>
    <w:rPr>
      <w:color w:val="ff0000"/>
      <w:b/>
    </w:rPr>
  </w:style>
  <w:style w:type="character" w:customStyle="1" w:styleId="ErrorTok">
    <w:name w:val="ErrorTok"/>
    <w:basedOn w:val="VerbatimChar"/>
    <w:rPr>
      <w:color w:val="ff0000"/>
      <w:b/>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1" Target="numbering.xml" /><Relationship Type="http://schemas.openxmlformats.org/officeDocument/2006/relationships/styles" Id="rId2" Target="styles.xml" /><Relationship Type="http://schemas.openxmlformats.org/officeDocument/2006/relationships/settings" Id="rId3" Target="settings.xml" /><Relationship Type="http://schemas.openxmlformats.org/officeDocument/2006/relationships/webSettings" Id="rId4" Target="webSettings.xml" /><Relationship Type="http://schemas.openxmlformats.org/officeDocument/2006/relationships/fontTable" Id="rId5" Target="fontTable.xml" /><Relationship Type="http://schemas.openxmlformats.org/officeDocument/2006/relationships/theme" Id="rId6" Target="theme/theme1.xml" /><Relationship Type="http://schemas.openxmlformats.org/officeDocument/2006/relationships/footnotes" Id="rId7" Target="footnotes.xml" /><Relationship Type="http://schemas.openxmlformats.org/officeDocument/2006/relationships/comments" Id="rId8"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Experiment Protocol: Military Officer Assessment in Myanmar Yangon</dc:title>
  <dc:creator/>
  <dc:language>en</dc:language>
  <cp:keywords/>
  <dcterms:created xsi:type="dcterms:W3CDTF">2026-10-10T02:34:43Z</dcterms:created>
  <dcterms:modified xsi:type="dcterms:W3CDTF">2026-10-10T02:34:43Z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viewport">
    <vt:lpwstr>width=device-width, initial-scale=1.0</vt:lpwstr>
  </property>
</Properties>
</file>