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Assessment</w:t>
      </w:r>
      <w:r>
        <w:t xml:space="preserve"> </w:t>
      </w:r>
      <w:r>
        <w:t xml:space="preserve">in</w:t>
      </w:r>
      <w:r>
        <w:t xml:space="preserve"> </w:t>
      </w:r>
      <w:r>
        <w:t xml:space="preserve">Qatar</w:t>
      </w:r>
      <w:r>
        <w:t xml:space="preserve"> </w:t>
      </w:r>
      <w:r>
        <w:t xml:space="preserve">Doha</w:t>
      </w:r>
    </w:p>
    <w:bookmarkStart w:id="20" w:name="Xc9ec9f58d6f947c875916c3b0d2f801d796494e"/>
    <w:p>
      <w:pPr>
        <w:pStyle w:val="Heading1"/>
      </w:pPr>
      <w:r>
        <w:t xml:space="preserve">Experiment Protocol: Advanced Tactical Decision-Making Assessment for Military Officers</w:t>
      </w:r>
    </w:p>
    <w:p>
      <w:pPr>
        <w:pStyle w:val="FirstParagraph"/>
      </w:pPr>
      <w:r>
        <w:rPr>
          <w:bCs/>
          <w:b/>
        </w:rPr>
        <w:t xml:space="preserve">Location:</w:t>
      </w:r>
      <w:r>
        <w:t xml:space="preserve"> </w:t>
      </w:r>
      <w:r>
        <w:t xml:space="preserve">Qatar Doha, State of Qatar</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Classification:</w:t>
      </w:r>
      <w:r>
        <w:t xml:space="preserve"> </w:t>
      </w:r>
      <w:r>
        <w:t xml:space="preserve">RESTRICTED</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cognitive resilience, tactical decision-making capabilities, and leadership adaptability of Military Officers operating in complex, high-stress environments. The study is specifically tailored to the unique geopolitical, climatic, and urban conditions present in Qatar Doha. As a strategic hub in the Middle East, Doha presents a distinct operational landscape characterized by extreme heat, dense urban infrastructure, and significant international diplomatic activity.</w:t>
      </w:r>
    </w:p>
    <w:p>
      <w:pPr>
        <w:pStyle w:val="BodyText"/>
      </w:pPr>
      <w:r>
        <w:t xml:space="preserve">The primary objective is to determine how Military Officers perform under simulated crisis scenarios that mirror potential real-world threats in the region. By conducting this experiment in Qatar Doha, researchers aim to gather empirical data on how environmental stressors and cultural contexts influence command decisions. This protocol ensures that all procedures adhere to international ethical standards for human subject research while maintaining the operational security required for military assessments.</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assess the decision-making speed and accuracy of Military Officers during simulated urban security crises in Qatar Doha.</w:t>
      </w:r>
    </w:p>
    <w:p>
      <w:pPr>
        <w:numPr>
          <w:ilvl w:val="0"/>
          <w:numId w:val="1001"/>
        </w:numPr>
        <w:pStyle w:val="Compact"/>
      </w:pPr>
      <w:r>
        <w:t xml:space="preserve">To evaluate the impact of extreme ambient temperatures (exceeding 40°C) on cognitive function and physical endurance during tactical exercises.</w:t>
      </w:r>
    </w:p>
    <w:p>
      <w:pPr>
        <w:numPr>
          <w:ilvl w:val="0"/>
          <w:numId w:val="1001"/>
        </w:numPr>
        <w:pStyle w:val="Compact"/>
      </w:pPr>
      <w:r>
        <w:t xml:space="preserve">To analyze the effectiveness of communication protocols between officers and local Qatari security forces during joint operations.</w:t>
      </w:r>
    </w:p>
    <w:p>
      <w:pPr>
        <w:numPr>
          <w:ilvl w:val="0"/>
          <w:numId w:val="1001"/>
        </w:numPr>
        <w:pStyle w:val="Compact"/>
      </w:pPr>
      <w:r>
        <w:t xml:space="preserve">To identify gaps in current training curricula regarding cultural awareness and urban warfare tactics specific to the Gulf region.</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employs a mixed-methods approach, combining quantitative performance metrics with qualitative observational data. The experiment will be conducted over a period of four weeks at a designated training facility in Qatar Doha. The design includes a control group and an experimental group, both consisting of qualified Military Officers.</w:t>
      </w:r>
    </w:p>
    <w:bookmarkEnd w:id="23"/>
    <w:bookmarkStart w:id="24" w:name="participants"/>
    <w:p>
      <w:pPr>
        <w:pStyle w:val="Heading3"/>
      </w:pPr>
      <w:r>
        <w:t xml:space="preserve">3.2 Participants</w:t>
      </w:r>
    </w:p>
    <w:p>
      <w:pPr>
        <w:pStyle w:val="FirstParagraph"/>
      </w:pPr>
      <w:r>
        <w:t xml:space="preserve">Participants will be selected based on rank (Captain to Major), years of service (minimum 5 years), and prior deployment experience. All participants must provide informed consent. The sample size is projected to be 60 officers, divided into three cohorts of 20.</w:t>
      </w:r>
    </w:p>
    <w:bookmarkEnd w:id="24"/>
    <w:bookmarkStart w:id="25" w:name="experimental-conditions"/>
    <w:p>
      <w:pPr>
        <w:pStyle w:val="Heading3"/>
      </w:pPr>
      <w:r>
        <w:t xml:space="preserve">3.3 Experimental Conditions</w:t>
      </w:r>
    </w:p>
    <w:p>
      <w:pPr>
        <w:pStyle w:val="FirstParagraph"/>
      </w:pPr>
      <w:r>
        <w:t xml:space="preserve">The scenarios will be designed to reflect realistic threats in Qatar Doha, including:</w:t>
      </w:r>
    </w:p>
    <w:p>
      <w:pPr>
        <w:numPr>
          <w:ilvl w:val="0"/>
          <w:numId w:val="1002"/>
        </w:numPr>
        <w:pStyle w:val="Compact"/>
      </w:pPr>
      <w:r>
        <w:rPr>
          <w:bCs/>
          <w:b/>
        </w:rPr>
        <w:t xml:space="preserve">Urban Crowd Control:</w:t>
      </w:r>
      <w:r>
        <w:t xml:space="preserve"> </w:t>
      </w:r>
      <w:r>
        <w:t xml:space="preserve">Managing large gatherings near key landmarks such as the Corniche or Souq Waqif.</w:t>
      </w:r>
    </w:p>
    <w:p>
      <w:pPr>
        <w:numPr>
          <w:ilvl w:val="0"/>
          <w:numId w:val="1002"/>
        </w:numPr>
        <w:pStyle w:val="Compact"/>
      </w:pPr>
      <w:r>
        <w:rPr>
          <w:bCs/>
          <w:b/>
        </w:rPr>
        <w:t xml:space="preserve">Heat Stress Operations:</w:t>
      </w:r>
      <w:r>
        <w:t xml:space="preserve"> </w:t>
      </w:r>
      <w:r>
        <w:t xml:space="preserve">Conducting patrols and tactical movements during peak afternoon heat.</w:t>
      </w:r>
    </w:p>
    <w:p>
      <w:pPr>
        <w:numPr>
          <w:ilvl w:val="0"/>
          <w:numId w:val="1002"/>
        </w:numPr>
        <w:pStyle w:val="Compact"/>
      </w:pPr>
      <w:r>
        <w:rPr>
          <w:bCs/>
          <w:b/>
        </w:rPr>
        <w:t xml:space="preserve">Cross-Cultural Communication:</w:t>
      </w:r>
      <w:r>
        <w:t xml:space="preserve"> </w:t>
      </w:r>
      <w:r>
        <w:t xml:space="preserve">Coordinating with Qatari authorities and managing interactions with diverse expatriate populations.</w:t>
      </w:r>
    </w:p>
    <w:bookmarkEnd w:id="25"/>
    <w:bookmarkEnd w:id="26"/>
    <w:bookmarkStart w:id="30" w:name="procedures"/>
    <w:p>
      <w:pPr>
        <w:pStyle w:val="Heading2"/>
      </w:pPr>
      <w:r>
        <w:t xml:space="preserve">4. Procedures</w:t>
      </w:r>
    </w:p>
    <w:bookmarkStart w:id="27" w:name="pre-experiment-phase"/>
    <w:p>
      <w:pPr>
        <w:pStyle w:val="Heading3"/>
      </w:pPr>
      <w:r>
        <w:t xml:space="preserve">4.1 Pre-Experiment Phase</w:t>
      </w:r>
    </w:p>
    <w:p>
      <w:pPr>
        <w:pStyle w:val="FirstParagraph"/>
      </w:pPr>
      <w:r>
        <w:t xml:space="preserve">Prior to the start of the experiment, all Military Officers will undergo baseline testing. This includes cognitive assessments, physical fitness evaluations, and psychological screening. Participants will be briefed on the general nature of the scenarios without revealing specific details to ensure authentic responses.</w:t>
      </w:r>
    </w:p>
    <w:bookmarkEnd w:id="27"/>
    <w:bookmarkStart w:id="28" w:name="execution-phase"/>
    <w:p>
      <w:pPr>
        <w:pStyle w:val="Heading3"/>
      </w:pPr>
      <w:r>
        <w:t xml:space="preserve">4.2 Execution Phase</w:t>
      </w:r>
    </w:p>
    <w:p>
      <w:pPr>
        <w:pStyle w:val="FirstParagraph"/>
      </w:pPr>
      <w:r>
        <w:t xml:space="preserve">Each cohort will participate in three distinct simulation exercises over a period of ten days. The exercises will be conducted in a controlled environment that replicates the urban and climatic conditions of Qatar Doha. Key steps include:</w:t>
      </w:r>
    </w:p>
    <w:p>
      <w:pPr>
        <w:numPr>
          <w:ilvl w:val="0"/>
          <w:numId w:val="1003"/>
        </w:numPr>
        <w:pStyle w:val="Compact"/>
      </w:pPr>
      <w:r>
        <w:rPr>
          <w:bCs/>
          <w:b/>
        </w:rPr>
        <w:t xml:space="preserve">Briefing:</w:t>
      </w:r>
      <w:r>
        <w:t xml:space="preserve"> </w:t>
      </w:r>
      <w:r>
        <w:t xml:space="preserve">Officers receive mission parameters and intelligence reports.</w:t>
      </w:r>
    </w:p>
    <w:p>
      <w:pPr>
        <w:numPr>
          <w:ilvl w:val="0"/>
          <w:numId w:val="1003"/>
        </w:numPr>
        <w:pStyle w:val="Compact"/>
      </w:pPr>
      <w:r>
        <w:rPr>
          <w:bCs/>
          <w:b/>
        </w:rPr>
        <w:t xml:space="preserve">Deployment:</w:t>
      </w:r>
      <w:r>
        <w:t xml:space="preserve"> </w:t>
      </w:r>
      <w:r>
        <w:t xml:space="preserve">Officers execute the mission in real-time, utilizing standard operating procedures.</w:t>
      </w:r>
    </w:p>
    <w:p>
      <w:pPr>
        <w:numPr>
          <w:ilvl w:val="0"/>
          <w:numId w:val="1003"/>
        </w:numPr>
        <w:pStyle w:val="Compact"/>
      </w:pPr>
      <w:r>
        <w:rPr>
          <w:bCs/>
          <w:b/>
        </w:rPr>
        <w:t xml:space="preserve">Monitoring:</w:t>
      </w:r>
      <w:r>
        <w:t xml:space="preserve"> </w:t>
      </w:r>
      <w:r>
        <w:t xml:space="preserve">Researchers collect data via wearable biometric sensors, video recording, and direct observation.</w:t>
      </w:r>
    </w:p>
    <w:p>
      <w:pPr>
        <w:numPr>
          <w:ilvl w:val="0"/>
          <w:numId w:val="1003"/>
        </w:numPr>
        <w:pStyle w:val="Compact"/>
      </w:pPr>
      <w:r>
        <w:rPr>
          <w:bCs/>
          <w:b/>
        </w:rPr>
        <w:t xml:space="preserve">Debriefing:</w:t>
      </w:r>
      <w:r>
        <w:t xml:space="preserve"> </w:t>
      </w:r>
      <w:r>
        <w:t xml:space="preserve">Post-exercise interviews to gather subjective feedback on challenges faced.</w:t>
      </w:r>
    </w:p>
    <w:bookmarkEnd w:id="28"/>
    <w:bookmarkStart w:id="29" w:name="data-collection"/>
    <w:p>
      <w:pPr>
        <w:pStyle w:val="Heading3"/>
      </w:pPr>
      <w:r>
        <w:t xml:space="preserve">4.3 Data Collection</w:t>
      </w:r>
    </w:p>
    <w:p>
      <w:pPr>
        <w:pStyle w:val="FirstParagraph"/>
      </w:pPr>
      <w:r>
        <w:t xml:space="preserve">Data will be collected using the following instruments: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Instrument</w:t>
            </w:r>
          </w:p>
        </w:tc>
        <w:tc>
          <w:tcPr/>
          <w:p>
            <w:pPr>
              <w:pStyle w:val="Compact"/>
              <w:jc w:val="left"/>
            </w:pPr>
            <w:r>
              <w:t xml:space="preserve">Purpose</w:t>
            </w:r>
          </w:p>
        </w:tc>
      </w:tr>
      <w:tr>
        <w:tc>
          <w:tcPr/>
          <w:p>
            <w:pPr>
              <w:pStyle w:val="Compact"/>
              <w:jc w:val="left"/>
            </w:pPr>
            <w:r>
              <w:t xml:space="preserve">Biometric Sensors</w:t>
            </w:r>
          </w:p>
        </w:tc>
        <w:tc>
          <w:tcPr/>
          <w:p>
            <w:pPr>
              <w:pStyle w:val="Compact"/>
              <w:jc w:val="left"/>
            </w:pPr>
            <w:r>
              <w:t xml:space="preserve">Monitor heart rate, body temperature, and stress levels.</w:t>
            </w:r>
          </w:p>
        </w:tc>
      </w:tr>
      <w:tr>
        <w:tc>
          <w:tcPr/>
          <w:p>
            <w:pPr>
              <w:pStyle w:val="Compact"/>
              <w:jc w:val="left"/>
            </w:pPr>
            <w:r>
              <w:t xml:space="preserve">Video Analysis</w:t>
            </w:r>
          </w:p>
        </w:tc>
        <w:tc>
          <w:tcPr/>
          <w:p>
            <w:pPr>
              <w:pStyle w:val="Compact"/>
              <w:jc w:val="left"/>
            </w:pPr>
            <w:r>
              <w:t xml:space="preserve">Record decision-making processes and team coordination.</w:t>
            </w:r>
          </w:p>
        </w:tc>
      </w:tr>
      <w:tr>
        <w:tc>
          <w:tcPr/>
          <w:p>
            <w:pPr>
              <w:pStyle w:val="Compact"/>
              <w:jc w:val="left"/>
            </w:pPr>
            <w:r>
              <w:t xml:space="preserve">Performance Checklists</w:t>
            </w:r>
          </w:p>
        </w:tc>
        <w:tc>
          <w:tcPr/>
          <w:p>
            <w:pPr>
              <w:pStyle w:val="Compact"/>
              <w:jc w:val="left"/>
            </w:pPr>
            <w:r>
              <w:t xml:space="preserve">Assess adherence to protocols and tactical effectiveness.</w:t>
            </w:r>
          </w:p>
        </w:tc>
      </w:tr>
      <w:tr>
        <w:tc>
          <w:tcPr/>
          <w:p>
            <w:pPr>
              <w:pStyle w:val="Compact"/>
              <w:jc w:val="left"/>
            </w:pPr>
            <w:r>
              <w:t xml:space="preserve">Post-Exercise Surveys</w:t>
            </w:r>
          </w:p>
        </w:tc>
        <w:tc>
          <w:tcPr/>
          <w:p>
            <w:pPr>
              <w:pStyle w:val="Compact"/>
              <w:jc w:val="left"/>
            </w:pPr>
            <w:r>
              <w:t xml:space="preserve">Gather self-reported data on fatigue, confidence, and cultural challenges.</w:t>
            </w:r>
          </w:p>
        </w:tc>
      </w:tr>
    </w:tbl>
    <w:bookmarkEnd w:id="29"/>
    <w:bookmarkEnd w:id="30"/>
    <w:bookmarkStart w:id="31" w:name="ethical-considerations"/>
    <w:p>
      <w:pPr>
        <w:pStyle w:val="Heading2"/>
      </w:pPr>
      <w:r>
        <w:t xml:space="preserve">5. Ethical Considerations</w:t>
      </w:r>
    </w:p>
    <w:p>
      <w:pPr>
        <w:pStyle w:val="FirstParagraph"/>
      </w:pPr>
      <w:r>
        <w:t xml:space="preserve">The welfare of all Military Officers participating in this experiment is paramount. The protocol has been reviewed and approved by the relevant ethics committee. Key ethical safeguards include:</w:t>
      </w:r>
    </w:p>
    <w:p>
      <w:pPr>
        <w:numPr>
          <w:ilvl w:val="0"/>
          <w:numId w:val="1004"/>
        </w:numPr>
        <w:pStyle w:val="Compact"/>
      </w:pPr>
      <w:r>
        <w:rPr>
          <w:bCs/>
          <w:b/>
        </w:rPr>
        <w:t xml:space="preserve">Informed Consent:</w:t>
      </w:r>
      <w:r>
        <w:t xml:space="preserve"> </w:t>
      </w:r>
      <w:r>
        <w:t xml:space="preserve">All participants will sign a consent form detailing the risks and benefits of the study.</w:t>
      </w:r>
    </w:p>
    <w:p>
      <w:pPr>
        <w:numPr>
          <w:ilvl w:val="0"/>
          <w:numId w:val="1004"/>
        </w:numPr>
        <w:pStyle w:val="Compact"/>
      </w:pPr>
      <w:r>
        <w:rPr>
          <w:bCs/>
          <w:b/>
        </w:rPr>
        <w:t xml:space="preserve">Right to Withdraw:</w:t>
      </w:r>
      <w:r>
        <w:t xml:space="preserve"> </w:t>
      </w:r>
      <w:r>
        <w:t xml:space="preserve">Participants may withdraw from the experiment at any time without penalty.</w:t>
      </w:r>
    </w:p>
    <w:p>
      <w:pPr>
        <w:numPr>
          <w:ilvl w:val="0"/>
          <w:numId w:val="1004"/>
        </w:numPr>
        <w:pStyle w:val="Compact"/>
      </w:pPr>
      <w:r>
        <w:rPr>
          <w:bCs/>
          <w:b/>
        </w:rPr>
        <w:t xml:space="preserve">Medical Support:</w:t>
      </w:r>
      <w:r>
        <w:t xml:space="preserve"> </w:t>
      </w:r>
      <w:r>
        <w:t xml:space="preserve">Qualified medical personnel will be on-site to address heat-related illnesses or injuries.</w:t>
      </w:r>
    </w:p>
    <w:p>
      <w:pPr>
        <w:numPr>
          <w:ilvl w:val="0"/>
          <w:numId w:val="1004"/>
        </w:numPr>
        <w:pStyle w:val="Compact"/>
      </w:pPr>
      <w:r>
        <w:rPr>
          <w:bCs/>
          <w:b/>
        </w:rPr>
        <w:t xml:space="preserve">Confidentiality:</w:t>
      </w:r>
      <w:r>
        <w:t xml:space="preserve"> </w:t>
      </w:r>
      <w:r>
        <w:t xml:space="preserve">All personal data will be anonymized and stored securely in compliance with data protection regulations.</w:t>
      </w:r>
    </w:p>
    <w:bookmarkEnd w:id="31"/>
    <w:bookmarkStart w:id="32" w:name="risk-management"/>
    <w:p>
      <w:pPr>
        <w:pStyle w:val="Heading2"/>
      </w:pPr>
      <w:r>
        <w:t xml:space="preserve">6. Risk Management</w:t>
      </w:r>
    </w:p>
    <w:p>
      <w:pPr>
        <w:pStyle w:val="FirstParagraph"/>
      </w:pPr>
      <w:r>
        <w:t xml:space="preserve">Given the nature of the experiment, potential risks include physical injury, heat exhaustion, and psychological stress. Mitigation strategies include:</w:t>
      </w:r>
    </w:p>
    <w:p>
      <w:pPr>
        <w:numPr>
          <w:ilvl w:val="0"/>
          <w:numId w:val="1005"/>
        </w:numPr>
        <w:pStyle w:val="Compact"/>
      </w:pPr>
      <w:r>
        <w:t xml:space="preserve">Strict monitoring of environmental conditions and mandatory rest periods.</w:t>
      </w:r>
    </w:p>
    <w:p>
      <w:pPr>
        <w:numPr>
          <w:ilvl w:val="0"/>
          <w:numId w:val="1005"/>
        </w:numPr>
        <w:pStyle w:val="Compact"/>
      </w:pPr>
      <w:r>
        <w:t xml:space="preserve">Use of protective gear and hydration protocols.</w:t>
      </w:r>
    </w:p>
    <w:p>
      <w:pPr>
        <w:numPr>
          <w:ilvl w:val="0"/>
          <w:numId w:val="1005"/>
        </w:numPr>
        <w:pStyle w:val="Compact"/>
      </w:pPr>
      <w:r>
        <w:t xml:space="preserve">Psychological support services available post-experiment.</w:t>
      </w:r>
    </w:p>
    <w:bookmarkEnd w:id="32"/>
    <w:bookmarkStart w:id="33" w:name="conclusion"/>
    <w:p>
      <w:pPr>
        <w:pStyle w:val="Heading2"/>
      </w:pPr>
      <w:r>
        <w:t xml:space="preserve">7. Conclusion</w:t>
      </w:r>
    </w:p>
    <w:p>
      <w:pPr>
        <w:pStyle w:val="FirstParagraph"/>
      </w:pPr>
      <w:r>
        <w:t xml:space="preserve">This Experiment Protocol provides a comprehensive framework for assessing the capabilities of Military Officers in the context of Qatar Doha. By focusing on the unique challenges of the region, the study aims to enhance training programs and improve operational readiness. The findings will contribute valuable insights into the intersection of environmental stress, cultural dynamics, and military leadership.</w:t>
      </w:r>
    </w:p>
    <w:bookmarkEnd w:id="33"/>
    <w:p>
      <w:pPr>
        <w:pStyle w:val="BodyText"/>
      </w:pPr>
      <w:r>
        <w:t xml:space="preserve">© 2023 Military Research Institute. All rights reserved. This document is classified and intended for authorized personnel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Assessment in Qatar Doha</dc:title>
  <dc:creator/>
  <dc:language>en</dc:language>
  <cp:keywords/>
  <dcterms:created xsi:type="dcterms:W3CDTF">2026-10-10T07:59:30Z</dcterms:created>
  <dcterms:modified xsi:type="dcterms:W3CDTF">2026-10-10T07:59:30Z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