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Study</w:t>
      </w:r>
      <w:r>
        <w:t xml:space="preserve"> </w:t>
      </w:r>
      <w:r>
        <w:t xml:space="preserve">in</w:t>
      </w:r>
      <w:r>
        <w:t xml:space="preserve"> </w:t>
      </w:r>
      <w:r>
        <w:t xml:space="preserve">Australia</w:t>
      </w:r>
      <w:r>
        <w:t xml:space="preserve"> </w:t>
      </w:r>
      <w:r>
        <w:t xml:space="preserve">Melbourne</w:t>
      </w:r>
    </w:p>
    <w:bookmarkStart w:id="42" w:name="X20eda364ce8c6981ee51e9501adaa4758d44140"/>
    <w:p>
      <w:pPr>
        <w:pStyle w:val="Heading1"/>
      </w:pPr>
      <w:r>
        <w:t xml:space="preserve">Experiment Protocol: Musician Study in Australia Melbourne</w:t>
      </w:r>
    </w:p>
    <w:bookmarkStart w:id="20" w:name="title"/>
    <w:p>
      <w:pPr>
        <w:pStyle w:val="Heading2"/>
      </w:pPr>
      <w:r>
        <w:t xml:space="preserve">1. Title</w:t>
      </w:r>
    </w:p>
    <w:p>
      <w:pPr>
        <w:pStyle w:val="FirstParagraph"/>
      </w:pPr>
      <w:r>
        <w:t xml:space="preserve">Investigating the Effects of Structured Practice and Environmental Acoustics on Performance Anxiety and Technical Proficiency Among Professional and Semi-Professional Musicians in Australia Melbourne.</w:t>
      </w:r>
    </w:p>
    <w:bookmarkEnd w:id="20"/>
    <w:bookmarkStart w:id="21" w:name="principal-investigator-and-affiliation"/>
    <w:p>
      <w:pPr>
        <w:pStyle w:val="Heading2"/>
      </w:pPr>
      <w:r>
        <w:t xml:space="preserve">2. Principal Investigator and Affiliation</w:t>
      </w:r>
    </w:p>
    <w:p>
      <w:pPr>
        <w:pStyle w:val="FirstParagraph"/>
      </w:pPr>
      <w:r>
        <w:t xml:space="preserve">Principal Investigator: [Name], PhD</w:t>
      </w:r>
      <w:r>
        <w:br/>
      </w:r>
      <w:r>
        <w:t xml:space="preserve">Affiliation: [University/Institution], Australia Melbourne</w:t>
      </w:r>
      <w:r>
        <w:br/>
      </w:r>
      <w:r>
        <w:t xml:space="preserve">Contact: [Email], [Phone]</w:t>
      </w:r>
    </w:p>
    <w:bookmarkEnd w:id="21"/>
    <w:bookmarkStart w:id="22" w:name="background-and-rationale"/>
    <w:p>
      <w:pPr>
        <w:pStyle w:val="Heading2"/>
      </w:pPr>
      <w:r>
        <w:t xml:space="preserve">3. Background and Rationale</w:t>
      </w:r>
    </w:p>
    <w:p>
      <w:pPr>
        <w:pStyle w:val="FirstParagraph"/>
      </w:pPr>
      <w:r>
        <w:t xml:space="preserve">Melbourne is widely recognized as a cultural and musical hub within Australia, hosting a dense population of professional and semi-professional musicians across diverse genres. Despite this vibrant ecosystem, there is limited empirical research conducted specifically in Australia Melbourne that examines how structured practice regimes and environmental acoustic conditions interact to influence performance anxiety and technical proficiency among local musicians.</w:t>
      </w:r>
    </w:p>
    <w:p>
      <w:pPr>
        <w:pStyle w:val="BodyText"/>
      </w:pPr>
      <w:r>
        <w:t xml:space="preserve">Performance anxiety is a prevalent issue among musicians, potentially affecting both artistic expression and career longevity. Concurrently, the acoustic environment in which musicians practice and perform—ranging from residential apartments in inner-city Melbourne to dedicated rehearsal studios—may significantly impact skill acquisition and psychological comfort. This Experiment Protocol outlines a controlled study designed to address these gaps within the Australia Melbourne context.</w:t>
      </w:r>
    </w:p>
    <w:bookmarkEnd w:id="22"/>
    <w:bookmarkStart w:id="23" w:name="objectives"/>
    <w:p>
      <w:pPr>
        <w:pStyle w:val="Heading2"/>
      </w:pPr>
      <w:r>
        <w:t xml:space="preserve">4. Objectives</w:t>
      </w:r>
    </w:p>
    <w:p>
      <w:pPr>
        <w:numPr>
          <w:ilvl w:val="0"/>
          <w:numId w:val="1001"/>
        </w:numPr>
        <w:pStyle w:val="Compact"/>
      </w:pPr>
      <w:r>
        <w:t xml:space="preserve">To assess the impact of structured, evidence-based practice schedules on technical proficiency among musicians in Australia Melbourne.</w:t>
      </w:r>
    </w:p>
    <w:p>
      <w:pPr>
        <w:numPr>
          <w:ilvl w:val="0"/>
          <w:numId w:val="1001"/>
        </w:numPr>
        <w:pStyle w:val="Compact"/>
      </w:pPr>
      <w:r>
        <w:t xml:space="preserve">To evaluate how variations in environmental acoustics (e.g., reverberant vs. dry practice spaces) influence performance anxiety levels.</w:t>
      </w:r>
    </w:p>
    <w:p>
      <w:pPr>
        <w:numPr>
          <w:ilvl w:val="0"/>
          <w:numId w:val="1001"/>
        </w:numPr>
        <w:pStyle w:val="Compact"/>
      </w:pPr>
      <w:r>
        <w:t xml:space="preserve">To determine whether the interaction between practice structure and acoustic environment predicts changes in self-reported confidence and objective performance metrics.</w:t>
      </w:r>
    </w:p>
    <w:p>
      <w:pPr>
        <w:numPr>
          <w:ilvl w:val="0"/>
          <w:numId w:val="1001"/>
        </w:numPr>
        <w:pStyle w:val="Compact"/>
      </w:pPr>
      <w:r>
        <w:t xml:space="preserve">To provide actionable recommendations for musicians, educators, and venue operators in Australia Melbourne.</w:t>
      </w:r>
    </w:p>
    <w:bookmarkEnd w:id="23"/>
    <w:bookmarkStart w:id="24" w:name="hypotheses"/>
    <w:p>
      <w:pPr>
        <w:pStyle w:val="Heading2"/>
      </w:pPr>
      <w:r>
        <w:t xml:space="preserve">5. Hypotheses</w:t>
      </w:r>
    </w:p>
    <w:p>
      <w:pPr>
        <w:numPr>
          <w:ilvl w:val="0"/>
          <w:numId w:val="1002"/>
        </w:numPr>
        <w:pStyle w:val="Compact"/>
      </w:pPr>
      <w:r>
        <w:t xml:space="preserve">H1: Musicians in Australia Melbourne who follow a structured, interval-based practice regimen will demonstrate greater improvements in technical proficiency than those following self-directed practice.</w:t>
      </w:r>
    </w:p>
    <w:p>
      <w:pPr>
        <w:numPr>
          <w:ilvl w:val="0"/>
          <w:numId w:val="1002"/>
        </w:numPr>
        <w:pStyle w:val="Compact"/>
      </w:pPr>
      <w:r>
        <w:t xml:space="preserve">H2: Musicians practicing in acoustically optimized environments will report lower performance anxiety compared to those practicing in acoustically suboptimal environments.</w:t>
      </w:r>
    </w:p>
    <w:p>
      <w:pPr>
        <w:numPr>
          <w:ilvl w:val="0"/>
          <w:numId w:val="1002"/>
        </w:numPr>
        <w:pStyle w:val="Compact"/>
      </w:pPr>
      <w:r>
        <w:t xml:space="preserve">H3: The combination of structured practice and optimized acoustics will yield the greatest reduction in performance anxiety and the largest gains in technical proficiency.</w:t>
      </w:r>
    </w:p>
    <w:bookmarkEnd w:id="24"/>
    <w:bookmarkStart w:id="29" w:name="participants"/>
    <w:p>
      <w:pPr>
        <w:pStyle w:val="Heading2"/>
      </w:pPr>
      <w:r>
        <w:t xml:space="preserve">6. Participants</w:t>
      </w:r>
    </w:p>
    <w:bookmarkStart w:id="25" w:name="target-population"/>
    <w:p>
      <w:pPr>
        <w:pStyle w:val="Heading3"/>
      </w:pPr>
      <w:r>
        <w:t xml:space="preserve">6.1 Target Population</w:t>
      </w:r>
    </w:p>
    <w:p>
      <w:pPr>
        <w:pStyle w:val="FirstParagraph"/>
      </w:pPr>
      <w:r>
        <w:t xml:space="preserve">Professional and semi-professional musicians residing in or regularly performing in Australia Melbourne, aged 18–65, with at least five years of formal training or performance experience.</w:t>
      </w:r>
    </w:p>
    <w:bookmarkEnd w:id="25"/>
    <w:bookmarkStart w:id="26" w:name="inclusion-criteria"/>
    <w:p>
      <w:pPr>
        <w:pStyle w:val="Heading3"/>
      </w:pPr>
      <w:r>
        <w:t xml:space="preserve">6.2 Inclusion Criteria</w:t>
      </w:r>
    </w:p>
    <w:p>
      <w:pPr>
        <w:numPr>
          <w:ilvl w:val="0"/>
          <w:numId w:val="1003"/>
        </w:numPr>
        <w:pStyle w:val="Compact"/>
      </w:pPr>
      <w:r>
        <w:t xml:space="preserve">Currently engaged in regular musical performance or teaching in Australia Melbourne.</w:t>
      </w:r>
    </w:p>
    <w:p>
      <w:pPr>
        <w:numPr>
          <w:ilvl w:val="0"/>
          <w:numId w:val="1003"/>
        </w:numPr>
        <w:pStyle w:val="Compact"/>
      </w:pPr>
      <w:r>
        <w:t xml:space="preserve">Ability to read and write in English.</w:t>
      </w:r>
    </w:p>
    <w:p>
      <w:pPr>
        <w:numPr>
          <w:ilvl w:val="0"/>
          <w:numId w:val="1003"/>
        </w:numPr>
        <w:pStyle w:val="Compact"/>
      </w:pPr>
      <w:r>
        <w:t xml:space="preserve">Willingness to commit to the study duration and protocol requirements.</w:t>
      </w:r>
    </w:p>
    <w:bookmarkEnd w:id="26"/>
    <w:bookmarkStart w:id="27" w:name="exclusion-criteria"/>
    <w:p>
      <w:pPr>
        <w:pStyle w:val="Heading3"/>
      </w:pPr>
      <w:r>
        <w:t xml:space="preserve">6.3 Exclusion Criteria</w:t>
      </w:r>
    </w:p>
    <w:p>
      <w:pPr>
        <w:numPr>
          <w:ilvl w:val="0"/>
          <w:numId w:val="1004"/>
        </w:numPr>
        <w:pStyle w:val="Compact"/>
      </w:pPr>
      <w:r>
        <w:t xml:space="preserve">Diagnosed hearing impairment that significantly affects musical performance.</w:t>
      </w:r>
    </w:p>
    <w:p>
      <w:pPr>
        <w:numPr>
          <w:ilvl w:val="0"/>
          <w:numId w:val="1004"/>
        </w:numPr>
        <w:pStyle w:val="Compact"/>
      </w:pPr>
      <w:r>
        <w:t xml:space="preserve">Current treatment for severe psychiatric conditions that may confound anxiety measures.</w:t>
      </w:r>
    </w:p>
    <w:p>
      <w:pPr>
        <w:numPr>
          <w:ilvl w:val="0"/>
          <w:numId w:val="1004"/>
        </w:numPr>
        <w:pStyle w:val="Compact"/>
      </w:pPr>
      <w:r>
        <w:t xml:space="preserve">Inability to provide informed consent.</w:t>
      </w:r>
    </w:p>
    <w:bookmarkEnd w:id="27"/>
    <w:bookmarkStart w:id="28" w:name="sample-size"/>
    <w:p>
      <w:pPr>
        <w:pStyle w:val="Heading3"/>
      </w:pPr>
      <w:r>
        <w:t xml:space="preserve">6.4 Sample Size</w:t>
      </w:r>
    </w:p>
    <w:p>
      <w:pPr>
        <w:pStyle w:val="FirstParagraph"/>
      </w:pPr>
      <w:r>
        <w:t xml:space="preserve">A minimum of 60 participants will be recruited from music schools, unions, and performance venues across Australia Melbourne to ensure adequate statistical power.</w:t>
      </w:r>
    </w:p>
    <w:bookmarkEnd w:id="28"/>
    <w:bookmarkEnd w:id="29"/>
    <w:bookmarkStart w:id="30" w:name="study-design"/>
    <w:p>
      <w:pPr>
        <w:pStyle w:val="Heading2"/>
      </w:pPr>
      <w:r>
        <w:t xml:space="preserve">7. Study Design</w:t>
      </w:r>
    </w:p>
    <w:p>
      <w:pPr>
        <w:pStyle w:val="FirstParagraph"/>
      </w:pPr>
      <w:r>
        <w:t xml:space="preserve">This Experiment Protocol employs a randomized controlled trial (RCT) design with three groups:</w:t>
      </w:r>
    </w:p>
    <w:p>
      <w:pPr>
        <w:numPr>
          <w:ilvl w:val="0"/>
          <w:numId w:val="1005"/>
        </w:numPr>
        <w:pStyle w:val="Compact"/>
      </w:pPr>
      <w:r>
        <w:t xml:space="preserve">Group A: Structured practice in acoustically optimized environments.</w:t>
      </w:r>
    </w:p>
    <w:p>
      <w:pPr>
        <w:numPr>
          <w:ilvl w:val="0"/>
          <w:numId w:val="1005"/>
        </w:numPr>
        <w:pStyle w:val="Compact"/>
      </w:pPr>
      <w:r>
        <w:t xml:space="preserve">Group B: Structured practice in acoustically suboptimal environments.</w:t>
      </w:r>
    </w:p>
    <w:p>
      <w:pPr>
        <w:numPr>
          <w:ilvl w:val="0"/>
          <w:numId w:val="1005"/>
        </w:numPr>
        <w:pStyle w:val="Compact"/>
      </w:pPr>
      <w:r>
        <w:t xml:space="preserve">Group C: Self-directed practice in acoustically optimized environments.</w:t>
      </w:r>
    </w:p>
    <w:p>
      <w:pPr>
        <w:pStyle w:val="FirstParagraph"/>
      </w:pPr>
      <w:r>
        <w:t xml:space="preserve">All participants will complete baseline assessments, a 6-week intervention, and post-intervention assessments. Data collection will occur at designated facilities in Australia Melbourne to standardize environmental conditions where possible.</w:t>
      </w:r>
    </w:p>
    <w:bookmarkEnd w:id="30"/>
    <w:bookmarkStart w:id="36" w:name="procedures"/>
    <w:p>
      <w:pPr>
        <w:pStyle w:val="Heading2"/>
      </w:pPr>
      <w:r>
        <w:t xml:space="preserve">8. Procedures</w:t>
      </w:r>
    </w:p>
    <w:bookmarkStart w:id="31" w:name="recruitment"/>
    <w:p>
      <w:pPr>
        <w:pStyle w:val="Heading3"/>
      </w:pPr>
      <w:r>
        <w:t xml:space="preserve">8.1 Recruitment</w:t>
      </w:r>
    </w:p>
    <w:p>
      <w:pPr>
        <w:pStyle w:val="FirstParagraph"/>
      </w:pPr>
      <w:r>
        <w:t xml:space="preserve">Recruitment will occur through partnerships with music conservatories, community ensembles, and performance venues in Australia Melbourne. Information sheets and consent forms will be distributed electronically and in person.</w:t>
      </w:r>
    </w:p>
    <w:bookmarkEnd w:id="31"/>
    <w:bookmarkStart w:id="32" w:name="informed-consent"/>
    <w:p>
      <w:pPr>
        <w:pStyle w:val="Heading3"/>
      </w:pPr>
      <w:r>
        <w:t xml:space="preserve">8.2 Informed Consent</w:t>
      </w:r>
    </w:p>
    <w:p>
      <w:pPr>
        <w:pStyle w:val="FirstParagraph"/>
      </w:pPr>
      <w:r>
        <w:t xml:space="preserve">Participants will receive a detailed information sheet outlining the purpose, procedures, risks, benefits, and confidentiality measures of the study. Written informed consent will be obtained prior to participation, in accordance with Australian ethical standards.</w:t>
      </w:r>
    </w:p>
    <w:bookmarkEnd w:id="32"/>
    <w:bookmarkStart w:id="33" w:name="baseline-assessment"/>
    <w:p>
      <w:pPr>
        <w:pStyle w:val="Heading3"/>
      </w:pPr>
      <w:r>
        <w:t xml:space="preserve">8.3 Baseline Assessment</w:t>
      </w:r>
    </w:p>
    <w:p>
      <w:pPr>
        <w:numPr>
          <w:ilvl w:val="0"/>
          <w:numId w:val="1006"/>
        </w:numPr>
        <w:pStyle w:val="Compact"/>
      </w:pPr>
      <w:r>
        <w:t xml:space="preserve">Demographic and musical background questionnaire.</w:t>
      </w:r>
    </w:p>
    <w:p>
      <w:pPr>
        <w:numPr>
          <w:ilvl w:val="0"/>
          <w:numId w:val="1006"/>
        </w:numPr>
        <w:pStyle w:val="Compact"/>
      </w:pPr>
      <w:r>
        <w:t xml:space="preserve">Performance anxiety inventory (e.g., Music Performance Anxiety Inventory).</w:t>
      </w:r>
    </w:p>
    <w:p>
      <w:pPr>
        <w:numPr>
          <w:ilvl w:val="0"/>
          <w:numId w:val="1006"/>
        </w:numPr>
        <w:pStyle w:val="Compact"/>
      </w:pPr>
      <w:r>
        <w:t xml:space="preserve">Technical proficiency assessment via recorded performance evaluated by blinded raters.</w:t>
      </w:r>
    </w:p>
    <w:p>
      <w:pPr>
        <w:numPr>
          <w:ilvl w:val="0"/>
          <w:numId w:val="1006"/>
        </w:numPr>
        <w:pStyle w:val="Compact"/>
      </w:pPr>
      <w:r>
        <w:t xml:space="preserve">Acoustic environment survey for current practice spaces.</w:t>
      </w:r>
    </w:p>
    <w:bookmarkEnd w:id="33"/>
    <w:bookmarkStart w:id="34" w:name="intervention"/>
    <w:p>
      <w:pPr>
        <w:pStyle w:val="Heading3"/>
      </w:pPr>
      <w:r>
        <w:t xml:space="preserve">8.4 Intervention</w:t>
      </w:r>
    </w:p>
    <w:p>
      <w:pPr>
        <w:pStyle w:val="FirstParagraph"/>
      </w:pPr>
      <w:r>
        <w:t xml:space="preserve">Over six weeks, participants will:</w:t>
      </w:r>
    </w:p>
    <w:p>
      <w:pPr>
        <w:numPr>
          <w:ilvl w:val="0"/>
          <w:numId w:val="1007"/>
        </w:numPr>
        <w:pStyle w:val="Compact"/>
      </w:pPr>
      <w:r>
        <w:t xml:space="preserve">Follow assigned practice schedules (structured vs. self-directed).</w:t>
      </w:r>
    </w:p>
    <w:p>
      <w:pPr>
        <w:numPr>
          <w:ilvl w:val="0"/>
          <w:numId w:val="1007"/>
        </w:numPr>
        <w:pStyle w:val="Compact"/>
      </w:pPr>
      <w:r>
        <w:t xml:space="preserve">Practice in designated rooms with controlled acoustic properties in Australia Melbourne.</w:t>
      </w:r>
    </w:p>
    <w:p>
      <w:pPr>
        <w:numPr>
          <w:ilvl w:val="0"/>
          <w:numId w:val="1007"/>
        </w:numPr>
        <w:pStyle w:val="Compact"/>
      </w:pPr>
      <w:r>
        <w:t xml:space="preserve">Complete weekly logs of practice duration, perceived stress, and subjective performance quality.</w:t>
      </w:r>
    </w:p>
    <w:bookmarkEnd w:id="34"/>
    <w:bookmarkStart w:id="35" w:name="post-intervention-assessment"/>
    <w:p>
      <w:pPr>
        <w:pStyle w:val="Heading3"/>
      </w:pPr>
      <w:r>
        <w:t xml:space="preserve">8.5 Post-Intervention Assessment</w:t>
      </w:r>
    </w:p>
    <w:p>
      <w:pPr>
        <w:pStyle w:val="FirstParagraph"/>
      </w:pPr>
      <w:r>
        <w:t xml:space="preserve">Repeat of baseline measures to evaluate changes in performance anxiety and technical proficiency.</w:t>
      </w:r>
    </w:p>
    <w:bookmarkEnd w:id="35"/>
    <w:bookmarkEnd w:id="36"/>
    <w:bookmarkStart w:id="37" w:name="measures-and-instruments"/>
    <w:p>
      <w:pPr>
        <w:pStyle w:val="Heading2"/>
      </w:pPr>
      <w:r>
        <w:t xml:space="preserve">9. Measures and Instruments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Measure</w:t>
            </w:r>
          </w:p>
        </w:tc>
        <w:tc>
          <w:tcPr/>
          <w:p>
            <w:pPr>
              <w:pStyle w:val="Compact"/>
              <w:jc w:val="left"/>
            </w:pPr>
            <w:r>
              <w:t xml:space="preserve">Description</w:t>
            </w:r>
          </w:p>
        </w:tc>
        <w:tc>
          <w:tcPr/>
          <w:p>
            <w:pPr>
              <w:pStyle w:val="Compact"/>
              <w:jc w:val="left"/>
            </w:pPr>
            <w:r>
              <w:t xml:space="preserve">Timing</w:t>
            </w:r>
          </w:p>
        </w:tc>
      </w:tr>
      <w:tr>
        <w:tc>
          <w:tcPr/>
          <w:p>
            <w:pPr>
              <w:pStyle w:val="Compact"/>
              <w:jc w:val="left"/>
            </w:pPr>
            <w:r>
              <w:t xml:space="preserve">Performance Anxiety Inventory</w:t>
            </w:r>
          </w:p>
        </w:tc>
        <w:tc>
          <w:tcPr/>
          <w:p>
            <w:pPr>
              <w:pStyle w:val="Compact"/>
              <w:jc w:val="left"/>
            </w:pPr>
            <w:r>
              <w:t xml:space="preserve">Standardized self-report scale assessing cognitive, somatic, and behavioral anxiety symptoms.</w:t>
            </w:r>
          </w:p>
        </w:tc>
        <w:tc>
          <w:tcPr/>
          <w:p>
            <w:pPr>
              <w:pStyle w:val="Compact"/>
              <w:jc w:val="left"/>
            </w:pPr>
            <w:r>
              <w:t xml:space="preserve">Baseline, Post-Intervention</w:t>
            </w:r>
          </w:p>
        </w:tc>
      </w:tr>
      <w:tr>
        <w:tc>
          <w:tcPr/>
          <w:p>
            <w:pPr>
              <w:pStyle w:val="Compact"/>
              <w:jc w:val="left"/>
            </w:pPr>
            <w:r>
              <w:t xml:space="preserve">Technical Proficiency Rating</w:t>
            </w:r>
          </w:p>
        </w:tc>
        <w:tc>
          <w:tcPr/>
          <w:p>
            <w:pPr>
              <w:pStyle w:val="Compact"/>
              <w:jc w:val="left"/>
            </w:pPr>
            <w:r>
              <w:t xml:space="preserve">Blinded expert evaluation of recorded performances using a validated rubric.</w:t>
            </w:r>
          </w:p>
        </w:tc>
        <w:tc>
          <w:tcPr/>
          <w:p>
            <w:pPr>
              <w:pStyle w:val="Compact"/>
              <w:jc w:val="left"/>
            </w:pPr>
            <w:r>
              <w:t xml:space="preserve">Baseline, Post-Intervention</w:t>
            </w:r>
          </w:p>
        </w:tc>
      </w:tr>
      <w:tr>
        <w:tc>
          <w:tcPr/>
          <w:p>
            <w:pPr>
              <w:pStyle w:val="Compact"/>
              <w:jc w:val="left"/>
            </w:pPr>
            <w:r>
              <w:t xml:space="preserve">Practice Logs</w:t>
            </w:r>
          </w:p>
        </w:tc>
        <w:tc>
          <w:tcPr/>
          <w:p>
            <w:pPr>
              <w:pStyle w:val="Compact"/>
              <w:jc w:val="left"/>
            </w:pPr>
            <w:r>
              <w:t xml:space="preserve">Daily records of practice duration, structure adherence, and subjective experience.</w:t>
            </w:r>
          </w:p>
        </w:tc>
        <w:tc>
          <w:tcPr/>
          <w:p>
            <w:pPr>
              <w:pStyle w:val="Compact"/>
              <w:jc w:val="left"/>
            </w:pPr>
            <w:r>
              <w:t xml:space="preserve">Weekly</w:t>
            </w:r>
          </w:p>
        </w:tc>
      </w:tr>
      <w:tr>
        <w:tc>
          <w:tcPr/>
          <w:p>
            <w:pPr>
              <w:pStyle w:val="Compact"/>
              <w:jc w:val="left"/>
            </w:pPr>
            <w:r>
              <w:t xml:space="preserve">Acoustic Environment Survey</w:t>
            </w:r>
          </w:p>
        </w:tc>
        <w:tc>
          <w:tcPr/>
          <w:p>
            <w:pPr>
              <w:pStyle w:val="Compact"/>
              <w:jc w:val="left"/>
            </w:pPr>
            <w:r>
              <w:t xml:space="preserve">Assessment of reverberation, noise levels, and perceived acoustic quality.</w:t>
            </w:r>
          </w:p>
        </w:tc>
        <w:tc>
          <w:tcPr/>
          <w:p>
            <w:pPr>
              <w:pStyle w:val="Compact"/>
              <w:jc w:val="left"/>
            </w:pPr>
            <w:r>
              <w:t xml:space="preserve">Baseline</w:t>
            </w:r>
          </w:p>
        </w:tc>
      </w:tr>
    </w:tbl>
    <w:bookmarkEnd w:id="37"/>
    <w:bookmarkStart w:id="38" w:name="data-analysis"/>
    <w:p>
      <w:pPr>
        <w:pStyle w:val="Heading2"/>
      </w:pPr>
      <w:r>
        <w:t xml:space="preserve">10. Data Analysis</w:t>
      </w:r>
    </w:p>
    <w:p>
      <w:pPr>
        <w:pStyle w:val="FirstParagraph"/>
      </w:pPr>
      <w:r>
        <w:t xml:space="preserve">Data will be analyzed using mixed-effects ANOVA to examine group differences over time in performance anxiety and technical proficiency. Covariates such as years of experience, instrument type, and baseline anxiety will be included. All analyses will be conducted using appropriate statistical software, with significance set at p &lt; 0.05.</w:t>
      </w:r>
    </w:p>
    <w:bookmarkEnd w:id="38"/>
    <w:bookmarkStart w:id="39" w:name="ethical-considerations"/>
    <w:p>
      <w:pPr>
        <w:pStyle w:val="Heading2"/>
      </w:pPr>
      <w:r>
        <w:t xml:space="preserve">11. Ethical Considerations</w:t>
      </w:r>
    </w:p>
    <w:p>
      <w:pPr>
        <w:pStyle w:val="FirstParagraph"/>
      </w:pPr>
      <w:r>
        <w:t xml:space="preserve">This Experiment Protocol has been designed to comply with the National Statement on Ethical Conduct in Human Research (Australia). Ethical approval will be obtained from the relevant Human Research Ethics Committee in Australia Melbourne prior to commencement. Participants may withdraw at any time without penalty. Confidentiality will be maintained through anonymized data storage and secure handling procedures.</w:t>
      </w:r>
    </w:p>
    <w:bookmarkEnd w:id="39"/>
    <w:bookmarkStart w:id="40" w:name="risk-management"/>
    <w:p>
      <w:pPr>
        <w:pStyle w:val="Heading2"/>
      </w:pPr>
      <w:r>
        <w:t xml:space="preserve">12. Risk Management</w:t>
      </w:r>
    </w:p>
    <w:p>
      <w:pPr>
        <w:pStyle w:val="FirstParagraph"/>
      </w:pPr>
      <w:r>
        <w:t xml:space="preserve">Potential risks include increased anxiety during performance assessments and minor physical strain from practice. Mitigation strategies include:</w:t>
      </w:r>
    </w:p>
    <w:p>
      <w:pPr>
        <w:numPr>
          <w:ilvl w:val="0"/>
          <w:numId w:val="1008"/>
        </w:numPr>
        <w:pStyle w:val="Compact"/>
      </w:pPr>
      <w:r>
        <w:t xml:space="preserve">Providing psychological support resources.</w:t>
      </w:r>
    </w:p>
    <w:p>
      <w:pPr>
        <w:numPr>
          <w:ilvl w:val="0"/>
          <w:numId w:val="1008"/>
        </w:numPr>
        <w:pStyle w:val="Compact"/>
      </w:pPr>
      <w:r>
        <w:t xml:space="preserve">Allowing breaks and flexible scheduling.</w:t>
      </w:r>
    </w:p>
    <w:p>
      <w:pPr>
        <w:numPr>
          <w:ilvl w:val="0"/>
          <w:numId w:val="1008"/>
        </w:numPr>
        <w:pStyle w:val="Compact"/>
      </w:pPr>
      <w:r>
        <w:t xml:space="preserve">Ensuring practice environments meet health and safety standards in Australia Melbourne.</w:t>
      </w:r>
    </w:p>
    <w:bookmarkEnd w:id="40"/>
    <w:bookmarkStart w:id="41" w:name="dissemination"/>
    <w:p>
      <w:pPr>
        <w:pStyle w:val="Heading2"/>
      </w:pPr>
      <w:r>
        <w:t xml:space="preserve">13. Dissemination</w:t>
      </w:r>
    </w:p>
    <w:p>
      <w:pPr>
        <w:pStyle w:val="FirstParagraph"/>
      </w:pPr>
      <w:r>
        <w:t xml:space="preserve">Findings will be disseminated through peer-reviewed publications, presentations at music and psychology conferences in Australia Melbourne, and summary reports shared with participating musicians and educational institutions.</w:t>
      </w:r>
    </w:p>
    <w:bookmarkEnd w:id="41"/>
    <w:p>
      <w:pPr>
        <w:pStyle w:val="BodyText"/>
      </w:pPr>
      <w:r>
        <w:t xml:space="preserve">Experiment Protocol: Musician Study in Australia Melbourne</w:t>
      </w:r>
      <w:r>
        <w:br/>
      </w:r>
      <w:r>
        <w:t xml:space="preserve">Version 1.0 | Date: [Insert Date]</w:t>
      </w:r>
    </w:p>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Study in Australia Melbourne</dc:title>
  <dc:creator/>
  <dc:language>en</dc:language>
  <cp:keywords/>
  <dcterms:created xsi:type="dcterms:W3CDTF">2026-10-10T08:27:55Z</dcterms:created>
  <dcterms:modified xsi:type="dcterms:W3CDTF">2026-10-10T08:27:55Z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