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Canada</w:t>
      </w:r>
      <w:r>
        <w:t xml:space="preserve"> </w:t>
      </w:r>
      <w:r>
        <w:t xml:space="preserve">Montreal</w:t>
      </w:r>
    </w:p>
    <w:bookmarkStart w:id="41" w:name="X03f2fcfc7d9ec755644b2952099ae1464cd3f11"/>
    <w:p>
      <w:pPr>
        <w:pStyle w:val="Heading1"/>
      </w:pPr>
      <w:r>
        <w:t xml:space="preserve">Experiment Protocol: Musician Study in Canada Montreal</w:t>
      </w:r>
    </w:p>
    <w:bookmarkStart w:id="20" w:name="title-of-the-experiment"/>
    <w:p>
      <w:pPr>
        <w:pStyle w:val="Heading2"/>
      </w:pPr>
      <w:r>
        <w:t xml:space="preserve">1. Title of the Experiment</w:t>
      </w:r>
    </w:p>
    <w:p>
      <w:pPr>
        <w:pStyle w:val="FirstParagraph"/>
      </w:pPr>
      <w:r>
        <w:t xml:space="preserve">Investigating the Cognitive and Emotional Effects of Musical Performance on Professional Musicians in Canada Montreal</w:t>
      </w:r>
    </w:p>
    <w:bookmarkEnd w:id="20"/>
    <w:bookmarkStart w:id="21" w:name="introduction-and-background"/>
    <w:p>
      <w:pPr>
        <w:pStyle w:val="Heading2"/>
      </w:pPr>
      <w:r>
        <w:t xml:space="preserve">2. Introduction and Background</w:t>
      </w:r>
    </w:p>
    <w:p>
      <w:pPr>
        <w:pStyle w:val="FirstParagraph"/>
      </w:pPr>
      <w:r>
        <w:t xml:space="preserve">This Experiment Protocol outlines the procedures for a comprehensive study focused on professional and semi-professional Musicians residing in Canada Montreal. The city of Montreal is renowned for its vibrant music scene, hosting numerous festivals, orchestras, and independent artists. This unique cultural environment provides an ideal setting to explore how musical engagement affects cognitive function, emotional regulation, and social interaction among Musicians.</w:t>
      </w:r>
    </w:p>
    <w:p>
      <w:pPr>
        <w:pStyle w:val="BodyText"/>
      </w:pPr>
      <w:r>
        <w:t xml:space="preserve">The study aims to contribute to the growing body of research on music and the brain, with specific attention to the experiences of Musicians in a multicultural urban context like Canada Montreal.</w:t>
      </w:r>
    </w:p>
    <w:bookmarkEnd w:id="21"/>
    <w:bookmarkStart w:id="22" w:name="objectives"/>
    <w:p>
      <w:pPr>
        <w:pStyle w:val="Heading2"/>
      </w:pPr>
      <w:r>
        <w:t xml:space="preserve">3. Objectives</w:t>
      </w:r>
    </w:p>
    <w:p>
      <w:pPr>
        <w:numPr>
          <w:ilvl w:val="0"/>
          <w:numId w:val="1001"/>
        </w:numPr>
        <w:pStyle w:val="Compact"/>
      </w:pPr>
      <w:r>
        <w:t xml:space="preserve">To assess the impact of regular musical performance on cognitive flexibility and memory in Musicians.</w:t>
      </w:r>
    </w:p>
    <w:p>
      <w:pPr>
        <w:numPr>
          <w:ilvl w:val="0"/>
          <w:numId w:val="1001"/>
        </w:numPr>
        <w:pStyle w:val="Compact"/>
      </w:pPr>
      <w:r>
        <w:t xml:space="preserve">To evaluate emotional well-being and stress levels among Musicians in Canada Montreal.</w:t>
      </w:r>
    </w:p>
    <w:p>
      <w:pPr>
        <w:numPr>
          <w:ilvl w:val="0"/>
          <w:numId w:val="1001"/>
        </w:numPr>
        <w:pStyle w:val="Compact"/>
      </w:pPr>
      <w:r>
        <w:t xml:space="preserve">To investigate the role of social support networks within the Montreal music community.</w:t>
      </w:r>
    </w:p>
    <w:p>
      <w:pPr>
        <w:numPr>
          <w:ilvl w:val="0"/>
          <w:numId w:val="1001"/>
        </w:numPr>
        <w:pStyle w:val="Compact"/>
      </w:pPr>
      <w:r>
        <w:t xml:space="preserve">To compare findings across different musical genres and performance contexts.</w:t>
      </w:r>
    </w:p>
    <w:bookmarkEnd w:id="22"/>
    <w:bookmarkStart w:id="26" w:name="participants"/>
    <w:p>
      <w:pPr>
        <w:pStyle w:val="Heading2"/>
      </w:pPr>
      <w:r>
        <w:t xml:space="preserve">4. Participants</w:t>
      </w:r>
    </w:p>
    <w:bookmarkStart w:id="23" w:name="inclusion-criteria"/>
    <w:p>
      <w:pPr>
        <w:pStyle w:val="Heading3"/>
      </w:pPr>
      <w:r>
        <w:t xml:space="preserve">4.1 Inclusion Criteria</w:t>
      </w:r>
    </w:p>
    <w:p>
      <w:pPr>
        <w:numPr>
          <w:ilvl w:val="0"/>
          <w:numId w:val="1002"/>
        </w:numPr>
        <w:pStyle w:val="Compact"/>
      </w:pPr>
      <w:r>
        <w:t xml:space="preserve">Individuals aged 18–65 years.</w:t>
      </w:r>
    </w:p>
    <w:p>
      <w:pPr>
        <w:numPr>
          <w:ilvl w:val="0"/>
          <w:numId w:val="1002"/>
        </w:numPr>
        <w:pStyle w:val="Compact"/>
      </w:pPr>
      <w:r>
        <w:t xml:space="preserve">Residing in Canada Montreal for at least one year.</w:t>
      </w:r>
    </w:p>
    <w:p>
      <w:pPr>
        <w:numPr>
          <w:ilvl w:val="0"/>
          <w:numId w:val="1002"/>
        </w:numPr>
        <w:pStyle w:val="Compact"/>
      </w:pPr>
      <w:r>
        <w:t xml:space="preserve">Identify as a Musician (professional or semi-professional) with at least 5 years of active performance experience.</w:t>
      </w:r>
    </w:p>
    <w:p>
      <w:pPr>
        <w:numPr>
          <w:ilvl w:val="0"/>
          <w:numId w:val="1002"/>
        </w:numPr>
        <w:pStyle w:val="Compact"/>
      </w:pPr>
      <w:r>
        <w:t xml:space="preserve">Fluent in English or French to ensure comprehension of study materials.</w:t>
      </w:r>
    </w:p>
    <w:bookmarkEnd w:id="23"/>
    <w:bookmarkStart w:id="24" w:name="exclusion-criteria"/>
    <w:p>
      <w:pPr>
        <w:pStyle w:val="Heading3"/>
      </w:pPr>
      <w:r>
        <w:t xml:space="preserve">4.2 Exclusion Criteria</w:t>
      </w:r>
    </w:p>
    <w:p>
      <w:pPr>
        <w:numPr>
          <w:ilvl w:val="0"/>
          <w:numId w:val="1003"/>
        </w:numPr>
        <w:pStyle w:val="Compact"/>
      </w:pPr>
      <w:r>
        <w:t xml:space="preserve">History of neurological disorders or psychiatric conditions that may confound results.</w:t>
      </w:r>
    </w:p>
    <w:p>
      <w:pPr>
        <w:numPr>
          <w:ilvl w:val="0"/>
          <w:numId w:val="1003"/>
        </w:numPr>
        <w:pStyle w:val="Compact"/>
      </w:pPr>
      <w:r>
        <w:t xml:space="preserve">Current use of medications known to affect cognitive or emotional functioning.</w:t>
      </w:r>
    </w:p>
    <w:bookmarkEnd w:id="24"/>
    <w:bookmarkStart w:id="25" w:name="sample-size"/>
    <w:p>
      <w:pPr>
        <w:pStyle w:val="Heading3"/>
      </w:pPr>
      <w:r>
        <w:t xml:space="preserve">4.3 Sample Size</w:t>
      </w:r>
    </w:p>
    <w:p>
      <w:pPr>
        <w:pStyle w:val="FirstParagraph"/>
      </w:pPr>
      <w:r>
        <w:t xml:space="preserve">The study will recruit 120 Musicians, ensuring diversity in age, gender, musical genre, and performance frequency.</w:t>
      </w:r>
    </w:p>
    <w:bookmarkEnd w:id="25"/>
    <w:bookmarkEnd w:id="26"/>
    <w:bookmarkStart w:id="30" w:name="experimental-design"/>
    <w:p>
      <w:pPr>
        <w:pStyle w:val="Heading2"/>
      </w:pPr>
      <w:r>
        <w:t xml:space="preserve">5. Experimental Design</w:t>
      </w:r>
    </w:p>
    <w:p>
      <w:pPr>
        <w:pStyle w:val="FirstParagraph"/>
      </w:pPr>
      <w:r>
        <w:t xml:space="preserve">This Experiment Protocol employs a mixed-methods approach, combining quantitative assessments with qualitative interviews. The study will be conducted over a 6-month period, with data collection occurring in three phases.</w:t>
      </w:r>
    </w:p>
    <w:bookmarkStart w:id="27" w:name="phase-1-baseline-assessment"/>
    <w:p>
      <w:pPr>
        <w:pStyle w:val="Heading3"/>
      </w:pPr>
      <w:r>
        <w:t xml:space="preserve">5.1 Phase 1: Baseline Assessment</w:t>
      </w:r>
    </w:p>
    <w:p>
      <w:pPr>
        <w:numPr>
          <w:ilvl w:val="0"/>
          <w:numId w:val="1004"/>
        </w:numPr>
        <w:pStyle w:val="Compact"/>
      </w:pPr>
      <w:r>
        <w:t xml:space="preserve">Cognitive testing (memory, attention, executive function).</w:t>
      </w:r>
    </w:p>
    <w:p>
      <w:pPr>
        <w:numPr>
          <w:ilvl w:val="0"/>
          <w:numId w:val="1004"/>
        </w:numPr>
        <w:pStyle w:val="Compact"/>
      </w:pPr>
      <w:r>
        <w:t xml:space="preserve">Emotional well-being surveys (e.g., PANAS, PSS).</w:t>
      </w:r>
    </w:p>
    <w:p>
      <w:pPr>
        <w:numPr>
          <w:ilvl w:val="0"/>
          <w:numId w:val="1004"/>
        </w:numPr>
        <w:pStyle w:val="Compact"/>
      </w:pPr>
      <w:r>
        <w:t xml:space="preserve">Demographic and musical background questionnaires.</w:t>
      </w:r>
    </w:p>
    <w:bookmarkEnd w:id="27"/>
    <w:bookmarkStart w:id="28" w:name="phase-2-intervention-and-observation"/>
    <w:p>
      <w:pPr>
        <w:pStyle w:val="Heading3"/>
      </w:pPr>
      <w:r>
        <w:t xml:space="preserve">5.2 Phase 2: Intervention and Observation</w:t>
      </w:r>
    </w:p>
    <w:p>
      <w:pPr>
        <w:numPr>
          <w:ilvl w:val="0"/>
          <w:numId w:val="1005"/>
        </w:numPr>
        <w:pStyle w:val="Compact"/>
      </w:pPr>
      <w:r>
        <w:t xml:space="preserve">Participants will maintain their regular musical activities.</w:t>
      </w:r>
    </w:p>
    <w:p>
      <w:pPr>
        <w:numPr>
          <w:ilvl w:val="0"/>
          <w:numId w:val="1005"/>
        </w:numPr>
        <w:pStyle w:val="Compact"/>
      </w:pPr>
      <w:r>
        <w:t xml:space="preserve">Monthly ecological momentary assessments (EMA) via mobile app to track mood, stress, and performance experiences.</w:t>
      </w:r>
    </w:p>
    <w:p>
      <w:pPr>
        <w:numPr>
          <w:ilvl w:val="0"/>
          <w:numId w:val="1005"/>
        </w:numPr>
        <w:pStyle w:val="Compact"/>
      </w:pPr>
      <w:r>
        <w:t xml:space="preserve">Observation of live performances in Canada Montreal venues (with consent).</w:t>
      </w:r>
    </w:p>
    <w:bookmarkEnd w:id="28"/>
    <w:bookmarkStart w:id="29" w:name="phase-3-follow-up-assessment"/>
    <w:p>
      <w:pPr>
        <w:pStyle w:val="Heading3"/>
      </w:pPr>
      <w:r>
        <w:t xml:space="preserve">5.3 Phase 3: Follow-up Assessment</w:t>
      </w:r>
    </w:p>
    <w:p>
      <w:pPr>
        <w:numPr>
          <w:ilvl w:val="0"/>
          <w:numId w:val="1006"/>
        </w:numPr>
        <w:pStyle w:val="Compact"/>
      </w:pPr>
      <w:r>
        <w:t xml:space="preserve">Repeat cognitive and emotional assessments.</w:t>
      </w:r>
    </w:p>
    <w:p>
      <w:pPr>
        <w:numPr>
          <w:ilvl w:val="0"/>
          <w:numId w:val="1006"/>
        </w:numPr>
        <w:pStyle w:val="Compact"/>
      </w:pPr>
      <w:r>
        <w:t xml:space="preserve">Semi-structured interviews to explore personal experiences and perceptions.</w:t>
      </w:r>
    </w:p>
    <w:bookmarkEnd w:id="29"/>
    <w:bookmarkEnd w:id="30"/>
    <w:bookmarkStart w:id="34" w:name="procedures"/>
    <w:p>
      <w:pPr>
        <w:pStyle w:val="Heading2"/>
      </w:pPr>
      <w:r>
        <w:t xml:space="preserve">6. Procedures</w:t>
      </w:r>
    </w:p>
    <w:bookmarkStart w:id="31" w:name="recruitment"/>
    <w:p>
      <w:pPr>
        <w:pStyle w:val="Heading3"/>
      </w:pPr>
      <w:r>
        <w:t xml:space="preserve">6.1 Recruitment</w:t>
      </w:r>
    </w:p>
    <w:p>
      <w:pPr>
        <w:pStyle w:val="FirstParagraph"/>
      </w:pPr>
      <w:r>
        <w:t xml:space="preserve">Musicians will be recruited through music schools, unions, festivals, and social media groups in Canada Montreal. Information sheets and consent forms will be provided in both English and French.</w:t>
      </w:r>
    </w:p>
    <w:bookmarkEnd w:id="31"/>
    <w:bookmarkStart w:id="32" w:name="informed-consent"/>
    <w:p>
      <w:pPr>
        <w:pStyle w:val="Heading3"/>
      </w:pPr>
      <w:r>
        <w:t xml:space="preserve">6.2 Informed Consent</w:t>
      </w:r>
    </w:p>
    <w:p>
      <w:pPr>
        <w:pStyle w:val="FirstParagraph"/>
      </w:pPr>
      <w:r>
        <w:t xml:space="preserve">All participants will provide written informed consent, acknowledging their rights, the voluntary nature of participation, and data confidentiality measures.</w:t>
      </w:r>
    </w:p>
    <w:bookmarkEnd w:id="32"/>
    <w:bookmarkStart w:id="33" w:name="data-collection"/>
    <w:p>
      <w:pPr>
        <w:pStyle w:val="Heading3"/>
      </w:pPr>
      <w:r>
        <w:t xml:space="preserve">6.3 Data Collection</w:t>
      </w:r>
    </w:p>
    <w:p>
      <w:pPr>
        <w:numPr>
          <w:ilvl w:val="0"/>
          <w:numId w:val="1007"/>
        </w:numPr>
        <w:pStyle w:val="Compact"/>
      </w:pPr>
      <w:r>
        <w:t xml:space="preserve">Cognitive tests administered in a quiet laboratory setting.</w:t>
      </w:r>
    </w:p>
    <w:p>
      <w:pPr>
        <w:numPr>
          <w:ilvl w:val="0"/>
          <w:numId w:val="1007"/>
        </w:numPr>
        <w:pStyle w:val="Compact"/>
      </w:pPr>
      <w:r>
        <w:t xml:space="preserve">Surveys completed online or on paper.</w:t>
      </w:r>
    </w:p>
    <w:p>
      <w:pPr>
        <w:numPr>
          <w:ilvl w:val="0"/>
          <w:numId w:val="1007"/>
        </w:numPr>
        <w:pStyle w:val="Compact"/>
      </w:pPr>
      <w:r>
        <w:t xml:space="preserve">EMA data collected via a secure mobile application.</w:t>
      </w:r>
    </w:p>
    <w:p>
      <w:pPr>
        <w:numPr>
          <w:ilvl w:val="0"/>
          <w:numId w:val="1007"/>
        </w:numPr>
        <w:pStyle w:val="Compact"/>
      </w:pPr>
      <w:r>
        <w:t xml:space="preserve">Interviews conducted in person or via video call, audio-recorded with permission.</w:t>
      </w:r>
    </w:p>
    <w:bookmarkEnd w:id="33"/>
    <w:bookmarkEnd w:id="34"/>
    <w:bookmarkStart w:id="35" w:name="ethical-considerations"/>
    <w:p>
      <w:pPr>
        <w:pStyle w:val="Heading2"/>
      </w:pPr>
      <w:r>
        <w:t xml:space="preserve">7. Ethical Considerations</w:t>
      </w:r>
    </w:p>
    <w:p>
      <w:pPr>
        <w:pStyle w:val="FirstParagraph"/>
      </w:pPr>
      <w:r>
        <w:t xml:space="preserve">This Experiment Protocol adheres to the ethical guidelines set by the Tri-Council Policy Statement (TCPS2) in Canada. The study has been reviewed and approved by the Institutional Review Board (IRB) of the host university in Canada Montreal.</w:t>
      </w:r>
    </w:p>
    <w:p>
      <w:pPr>
        <w:numPr>
          <w:ilvl w:val="0"/>
          <w:numId w:val="1008"/>
        </w:numPr>
        <w:pStyle w:val="Compact"/>
      </w:pPr>
      <w:r>
        <w:t xml:space="preserve">Confidentiality: All data will be anonymized and stored securely.</w:t>
      </w:r>
    </w:p>
    <w:p>
      <w:pPr>
        <w:numPr>
          <w:ilvl w:val="0"/>
          <w:numId w:val="1008"/>
        </w:numPr>
        <w:pStyle w:val="Compact"/>
      </w:pPr>
      <w:r>
        <w:t xml:space="preserve">Voluntary Participation: Participants may withdraw at any time without penalty.</w:t>
      </w:r>
    </w:p>
    <w:p>
      <w:pPr>
        <w:numPr>
          <w:ilvl w:val="0"/>
          <w:numId w:val="1008"/>
        </w:numPr>
        <w:pStyle w:val="Compact"/>
      </w:pPr>
      <w:r>
        <w:t xml:space="preserve">Cultural Sensitivity: The study respects the diverse cultural backgrounds of Musicians in Canada Montreal.</w:t>
      </w:r>
    </w:p>
    <w:bookmarkEnd w:id="35"/>
    <w:bookmarkStart w:id="36" w:name="data-analysis"/>
    <w:p>
      <w:pPr>
        <w:pStyle w:val="Heading2"/>
      </w:pPr>
      <w:r>
        <w:t xml:space="preserve">8. Data Analysis</w:t>
      </w:r>
    </w:p>
    <w:p>
      <w:pPr>
        <w:numPr>
          <w:ilvl w:val="0"/>
          <w:numId w:val="1009"/>
        </w:numPr>
        <w:pStyle w:val="Compact"/>
      </w:pPr>
      <w:r>
        <w:t xml:space="preserve">Quantitative data will be analyzed using statistical software (e.g., SPSS, R) to identify trends and correlations.</w:t>
      </w:r>
    </w:p>
    <w:p>
      <w:pPr>
        <w:numPr>
          <w:ilvl w:val="0"/>
          <w:numId w:val="1009"/>
        </w:numPr>
        <w:pStyle w:val="Compact"/>
      </w:pPr>
      <w:r>
        <w:t xml:space="preserve">Qualitative data will be transcribed and analyzed using thematic analysis.</w:t>
      </w:r>
    </w:p>
    <w:p>
      <w:pPr>
        <w:numPr>
          <w:ilvl w:val="0"/>
          <w:numId w:val="1009"/>
        </w:numPr>
        <w:pStyle w:val="Compact"/>
      </w:pPr>
      <w:r>
        <w:t xml:space="preserve">Integration of both data types will provide a comprehensive understanding of the experiences of Musicians in Canada Montreal.</w:t>
      </w:r>
    </w:p>
    <w:bookmarkEnd w:id="36"/>
    <w:bookmarkStart w:id="37" w:name="expected-outcomes"/>
    <w:p>
      <w:pPr>
        <w:pStyle w:val="Heading2"/>
      </w:pPr>
      <w:r>
        <w:t xml:space="preserve">9. Expected Outcomes</w:t>
      </w:r>
    </w:p>
    <w:p>
      <w:pPr>
        <w:pStyle w:val="FirstParagraph"/>
      </w:pPr>
      <w:r>
        <w:t xml:space="preserve">This Experiment Protocol anticipates that regular musical performance will be associated with enhanced cognitive flexibility, improved emotional regulation, and stronger social connections among Musicians in Canada Montreal. Findings will inform music education, mental health support, and community programming for Musicians.</w:t>
      </w:r>
    </w:p>
    <w:bookmarkEnd w:id="37"/>
    <w:bookmarkStart w:id="38" w:name="dissemination"/>
    <w:p>
      <w:pPr>
        <w:pStyle w:val="Heading2"/>
      </w:pPr>
      <w:r>
        <w:t xml:space="preserve">10. Dissemination</w:t>
      </w:r>
    </w:p>
    <w:p>
      <w:pPr>
        <w:pStyle w:val="FirstParagraph"/>
      </w:pPr>
      <w:r>
        <w:t xml:space="preserve">Results will be shared through academic publications, conferences, and community workshops in Canada Montreal. A summary report will be provided to all participants and relevant music organizations.</w:t>
      </w:r>
    </w:p>
    <w:bookmarkEnd w:id="38"/>
    <w:bookmarkStart w:id="39" w:name="references"/>
    <w:p>
      <w:pPr>
        <w:pStyle w:val="Heading2"/>
      </w:pPr>
      <w:r>
        <w:t xml:space="preserve">11. References</w:t>
      </w:r>
    </w:p>
    <w:p>
      <w:pPr>
        <w:pStyle w:val="FirstParagraph"/>
      </w:pPr>
      <w:r>
        <w:t xml:space="preserve">References will be included in the final report, citing relevant literature on music cognition, emotional well-being, and cultural studies in Canada Montreal.</w:t>
      </w:r>
    </w:p>
    <w:bookmarkEnd w:id="39"/>
    <w:bookmarkStart w:id="40" w:name="contact-information"/>
    <w:p>
      <w:pPr>
        <w:pStyle w:val="Heading2"/>
      </w:pPr>
      <w:r>
        <w:t xml:space="preserve">12. Contact Information</w:t>
      </w:r>
    </w:p>
    <w:p>
      <w:pPr>
        <w:pStyle w:val="FirstParagraph"/>
      </w:pPr>
      <w:r>
        <w:t xml:space="preserve">For questions regarding this Experiment Protocol, please contact the principal investigator at the affiliated institution in Canada Montreal.</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Canada Montreal</dc:title>
  <dc:creator/>
  <dc:language>en</dc:language>
  <cp:keywords/>
  <dcterms:created xsi:type="dcterms:W3CDTF">2026-10-10T07:28:33Z</dcterms:created>
  <dcterms:modified xsi:type="dcterms:W3CDTF">2026-10-10T07:28:33Z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