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Cognitive</w:t>
      </w:r>
      <w:r>
        <w:t xml:space="preserve"> </w:t>
      </w:r>
      <w:r>
        <w:t xml:space="preserve">Load</w:t>
      </w:r>
      <w:r>
        <w:t xml:space="preserve"> </w:t>
      </w:r>
      <w:r>
        <w:t xml:space="preserve">in</w:t>
      </w:r>
      <w:r>
        <w:t xml:space="preserve"> </w:t>
      </w:r>
      <w:r>
        <w:t xml:space="preserve">Toronto</w:t>
      </w:r>
    </w:p>
    <w:bookmarkStart w:id="20" w:name="X055587e52e85492de1138deb1714d3f3afe03f0"/>
    <w:p>
      <w:pPr>
        <w:pStyle w:val="Heading1"/>
      </w:pPr>
      <w:r>
        <w:t xml:space="preserve">Experiment Protocol: Musician Cognitive Load and Environmental Acoustics in Canada Toronto</w:t>
      </w:r>
    </w:p>
    <w:p>
      <w:pPr>
        <w:pStyle w:val="FirstParagraph"/>
      </w:pPr>
      <w:r>
        <w:rPr>
          <w:bCs/>
          <w:b/>
        </w:rPr>
        <w:t xml:space="preserve">Protocol ID:</w:t>
      </w:r>
      <w:r>
        <w:t xml:space="preserve"> </w:t>
      </w:r>
      <w:r>
        <w:t xml:space="preserve">TOR-MUS-2024-001</w:t>
      </w:r>
    </w:p>
    <w:p>
      <w:pPr>
        <w:pStyle w:val="BodyText"/>
      </w:pPr>
      <w:r>
        <w:rPr>
          <w:bCs/>
          <w:b/>
        </w:rPr>
        <w:t xml:space="preserve">Location:</w:t>
      </w:r>
      <w:r>
        <w:t xml:space="preserve"> </w:t>
      </w:r>
      <w:r>
        <w:t xml:space="preserve">Toronto, Ontario, Canada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study investigating the impact of urban environmental acoustics on the cognitive load and performance accuracy of professional and semi-professional musicians. The study is situated in Canada Toronto, a city characterized by a dense urban soundscape, diverse cultural music scenes, and significant infrastructure noise from transit systems such as the Toronto Transit Commission (TTC).</w:t>
      </w:r>
    </w:p>
    <w:p>
      <w:pPr>
        <w:pStyle w:val="BodyText"/>
      </w:pPr>
      <w:r>
        <w:t xml:space="preserve">Musician populations in Toronto often practice and perform in environments with variable acoustic conditions. Understanding how these specific environmental factors influence a Musician's ability to maintain focus, execute complex motor tasks, and process auditory feedback is critical for urban planning, music education, and performer health.</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quantify the effect of simulated Toronto urban noise profiles on the performance accuracy of a Musician.</w:t>
      </w:r>
    </w:p>
    <w:p>
      <w:pPr>
        <w:numPr>
          <w:ilvl w:val="0"/>
          <w:numId w:val="1001"/>
        </w:numPr>
        <w:pStyle w:val="Compact"/>
      </w:pPr>
      <w:r>
        <w:t xml:space="preserve">To measure the subjective cognitive load reported by a Musician under varying acoustic conditions.</w:t>
      </w:r>
    </w:p>
    <w:p>
      <w:pPr>
        <w:numPr>
          <w:ilvl w:val="0"/>
          <w:numId w:val="1001"/>
        </w:numPr>
        <w:pStyle w:val="Compact"/>
      </w:pPr>
      <w:r>
        <w:t xml:space="preserve">To assess the physiological stress responses of a Musician when exposed to typical Canada Toronto ambient noise levels during practice sessions.</w:t>
      </w:r>
    </w:p>
    <w:bookmarkEnd w:id="22"/>
    <w:bookmarkStart w:id="25" w:name="participants"/>
    <w:p>
      <w:pPr>
        <w:pStyle w:val="Heading2"/>
      </w:pPr>
      <w:r>
        <w:t xml:space="preserve">3. Participants</w:t>
      </w:r>
    </w:p>
    <w:bookmarkStart w:id="23" w:name="inclusion-criteria"/>
    <w:p>
      <w:pPr>
        <w:pStyle w:val="Heading3"/>
      </w:pPr>
      <w:r>
        <w:t xml:space="preserve">3.1 Inclusion Criteria</w:t>
      </w:r>
    </w:p>
    <w:p>
      <w:pPr>
        <w:numPr>
          <w:ilvl w:val="0"/>
          <w:numId w:val="1002"/>
        </w:numPr>
        <w:pStyle w:val="Compact"/>
      </w:pPr>
      <w:r>
        <w:t xml:space="preserve">Must be a Musician residing in the Greater Toronto Area (GTA).</w:t>
      </w:r>
    </w:p>
    <w:p>
      <w:pPr>
        <w:numPr>
          <w:ilvl w:val="0"/>
          <w:numId w:val="1002"/>
        </w:numPr>
        <w:pStyle w:val="Compact"/>
      </w:pPr>
      <w:r>
        <w:t xml:space="preserve">Must have at least five years of formal training or professional experience.</w:t>
      </w:r>
    </w:p>
    <w:p>
      <w:pPr>
        <w:numPr>
          <w:ilvl w:val="0"/>
          <w:numId w:val="1002"/>
        </w:numPr>
        <w:pStyle w:val="Compact"/>
      </w:pPr>
      <w:r>
        <w:t xml:space="preserve">Must be between the ages of 18 and 65.</w:t>
      </w:r>
    </w:p>
    <w:p>
      <w:pPr>
        <w:numPr>
          <w:ilvl w:val="0"/>
          <w:numId w:val="1002"/>
        </w:numPr>
        <w:pStyle w:val="Compact"/>
      </w:pPr>
      <w:r>
        <w:t xml:space="preserve">Must have normal or corrected-to-normal hearing.</w:t>
      </w:r>
    </w:p>
    <w:bookmarkEnd w:id="23"/>
    <w:bookmarkStart w:id="24" w:name="exclusion-criteria"/>
    <w:p>
      <w:pPr>
        <w:pStyle w:val="Heading3"/>
      </w:pPr>
      <w:r>
        <w:t xml:space="preserve">3.2 Exclusion Criteria</w:t>
      </w:r>
    </w:p>
    <w:p>
      <w:pPr>
        <w:numPr>
          <w:ilvl w:val="0"/>
          <w:numId w:val="1003"/>
        </w:numPr>
        <w:pStyle w:val="Compact"/>
      </w:pPr>
      <w:r>
        <w:t xml:space="preserve">History of neurological disorders affecting motor control or auditory processing.</w:t>
      </w:r>
    </w:p>
    <w:p>
      <w:pPr>
        <w:numPr>
          <w:ilvl w:val="0"/>
          <w:numId w:val="1003"/>
        </w:numPr>
        <w:pStyle w:val="Compact"/>
      </w:pPr>
      <w:r>
        <w:t xml:space="preserve">Current use of medications known to significantly affect cognitive function.</w:t>
      </w:r>
    </w:p>
    <w:p>
      <w:pPr>
        <w:pStyle w:val="FirstParagraph"/>
      </w:pPr>
      <w:r>
        <w:t xml:space="preserve">A total of 40 participants will be recruited through local music conservatories, community centers, and professional networks in Canada Toronto.</w:t>
      </w:r>
    </w:p>
    <w:bookmarkEnd w:id="24"/>
    <w:bookmarkEnd w:id="25"/>
    <w:bookmarkStart w:id="27" w:name="experimental-design"/>
    <w:p>
      <w:pPr>
        <w:pStyle w:val="Heading2"/>
      </w:pPr>
      <w:r>
        <w:t xml:space="preserve">4. Experimental Design</w:t>
      </w:r>
    </w:p>
    <w:p>
      <w:pPr>
        <w:pStyle w:val="FirstParagraph"/>
      </w:pPr>
      <w:r>
        <w:t xml:space="preserve">This study employs a within-subjects design. Each Musician will participate in three experimental sessions, each lasting approximately 60 minutes. The sessions will be conducted in a controlled acoustic laboratory located in Toronto, Ontario.</w:t>
      </w:r>
    </w:p>
    <w:bookmarkStart w:id="26" w:name="conditions"/>
    <w:p>
      <w:pPr>
        <w:pStyle w:val="Heading3"/>
      </w:pPr>
      <w:r>
        <w:t xml:space="preserve">4.1 Conditions</w:t>
      </w:r>
    </w:p>
    <w:p>
      <w:pPr>
        <w:numPr>
          <w:ilvl w:val="0"/>
          <w:numId w:val="1004"/>
        </w:numPr>
        <w:pStyle w:val="Compact"/>
      </w:pPr>
      <w:r>
        <w:rPr>
          <w:bCs/>
          <w:b/>
        </w:rPr>
        <w:t xml:space="preserve">Condition A (Quiet):</w:t>
      </w:r>
      <w:r>
        <w:t xml:space="preserve"> </w:t>
      </w:r>
      <w:r>
        <w:t xml:space="preserve">Baseline performance in a sound-attenuated room.</w:t>
      </w:r>
    </w:p>
    <w:p>
      <w:pPr>
        <w:numPr>
          <w:ilvl w:val="0"/>
          <w:numId w:val="1004"/>
        </w:numPr>
        <w:pStyle w:val="Compact"/>
      </w:pPr>
      <w:r>
        <w:rPr>
          <w:bCs/>
          <w:b/>
        </w:rPr>
        <w:t xml:space="preserve">Condition B (Simulated Residential Toronto):</w:t>
      </w:r>
      <w:r>
        <w:t xml:space="preserve"> </w:t>
      </w:r>
      <w:r>
        <w:t xml:space="preserve">Background noise consisting of traffic, distant sirens, and pedestrian activity typical of a Toronto residential neighborhood.</w:t>
      </w:r>
    </w:p>
    <w:p>
      <w:pPr>
        <w:numPr>
          <w:ilvl w:val="0"/>
          <w:numId w:val="1004"/>
        </w:numPr>
        <w:pStyle w:val="Compact"/>
      </w:pPr>
      <w:r>
        <w:rPr>
          <w:bCs/>
          <w:b/>
        </w:rPr>
        <w:t xml:space="preserve">Condition C (Simulated Transit Hub):</w:t>
      </w:r>
      <w:r>
        <w:t xml:space="preserve"> </w:t>
      </w:r>
      <w:r>
        <w:t xml:space="preserve">Background noise mimicking the acoustic environment of a busy TTC subway station or Union Station.</w:t>
      </w:r>
    </w:p>
    <w:p>
      <w:pPr>
        <w:pStyle w:val="FirstParagraph"/>
      </w:pPr>
      <w:r>
        <w:t xml:space="preserve">The order of conditions will be counterbalanced across participants to control for order effects.</w:t>
      </w:r>
    </w:p>
    <w:bookmarkEnd w:id="26"/>
    <w:bookmarkEnd w:id="27"/>
    <w:bookmarkStart w:id="28" w:name="materials-and-equipment"/>
    <w:p>
      <w:pPr>
        <w:pStyle w:val="Heading2"/>
      </w:pPr>
      <w:r>
        <w:t xml:space="preserve">5. Materials and Equipment</w:t>
      </w:r>
    </w:p>
    <w:p>
      <w:pPr>
        <w:numPr>
          <w:ilvl w:val="0"/>
          <w:numId w:val="1005"/>
        </w:numPr>
        <w:pStyle w:val="Compact"/>
      </w:pPr>
      <w:r>
        <w:t xml:space="preserve">High-fidelity audio playback system for environmental noise simulation.</w:t>
      </w:r>
    </w:p>
    <w:p>
      <w:pPr>
        <w:numPr>
          <w:ilvl w:val="0"/>
          <w:numId w:val="1005"/>
        </w:numPr>
        <w:pStyle w:val="Compact"/>
      </w:pPr>
      <w:r>
        <w:t xml:space="preserve">Standardized musical instrument (e.g., digital piano or violin) for performance tasks.</w:t>
      </w:r>
    </w:p>
    <w:p>
      <w:pPr>
        <w:numPr>
          <w:ilvl w:val="0"/>
          <w:numId w:val="1005"/>
        </w:numPr>
        <w:pStyle w:val="Compact"/>
      </w:pPr>
      <w:r>
        <w:t xml:space="preserve">Biometric sensors for heart rate and galvanic skin response.</w:t>
      </w:r>
    </w:p>
    <w:p>
      <w:pPr>
        <w:numPr>
          <w:ilvl w:val="0"/>
          <w:numId w:val="1005"/>
        </w:numPr>
        <w:pStyle w:val="Compact"/>
      </w:pPr>
      <w:r>
        <w:t xml:space="preserve">Audio recording equipment for performance analysis.</w:t>
      </w:r>
    </w:p>
    <w:p>
      <w:pPr>
        <w:numPr>
          <w:ilvl w:val="0"/>
          <w:numId w:val="1005"/>
        </w:numPr>
        <w:pStyle w:val="Compact"/>
      </w:pPr>
      <w:r>
        <w:t xml:space="preserve">Questionnaires for subjective cognitive load assessment (NASA-TLX).</w:t>
      </w:r>
    </w:p>
    <w:bookmarkEnd w:id="28"/>
    <w:bookmarkStart w:id="31" w:name="procedure"/>
    <w:p>
      <w:pPr>
        <w:pStyle w:val="Heading2"/>
      </w:pPr>
      <w:r>
        <w:t xml:space="preserve">6. Procedure</w:t>
      </w:r>
    </w:p>
    <w:bookmarkStart w:id="29" w:name="pre-experiment"/>
    <w:p>
      <w:pPr>
        <w:pStyle w:val="Heading3"/>
      </w:pPr>
      <w:r>
        <w:t xml:space="preserve">6.1 Pre-Experiment</w:t>
      </w:r>
    </w:p>
    <w:p>
      <w:pPr>
        <w:pStyle w:val="FirstParagraph"/>
      </w:pPr>
      <w:r>
        <w:t xml:space="preserve">Upon arrival at the facility in Toronto, each Musician will provide informed consent in accordance with the Tri-Council Policy Statement: Ethical Conduct for Research Involving Humans (TCPS2). Participants will complete a demographic and health questionnaire.</w:t>
      </w:r>
    </w:p>
    <w:bookmarkEnd w:id="29"/>
    <w:bookmarkStart w:id="30" w:name="experimental-session"/>
    <w:p>
      <w:pPr>
        <w:pStyle w:val="Heading3"/>
      </w:pPr>
      <w:r>
        <w:t xml:space="preserve">6.2 Experimental Session</w:t>
      </w:r>
    </w:p>
    <w:p>
      <w:pPr>
        <w:numPr>
          <w:ilvl w:val="0"/>
          <w:numId w:val="1006"/>
        </w:numPr>
        <w:pStyle w:val="Compact"/>
      </w:pPr>
      <w:r>
        <w:rPr>
          <w:bCs/>
          <w:b/>
        </w:rPr>
        <w:t xml:space="preserve">Setup:</w:t>
      </w:r>
      <w:r>
        <w:t xml:space="preserve"> </w:t>
      </w:r>
      <w:r>
        <w:t xml:space="preserve">Biometric sensors will be attached to the Musician. The participant will be seated with the instrument.</w:t>
      </w:r>
    </w:p>
    <w:p>
      <w:pPr>
        <w:numPr>
          <w:ilvl w:val="0"/>
          <w:numId w:val="1006"/>
        </w:numPr>
        <w:pStyle w:val="Compact"/>
      </w:pPr>
      <w:r>
        <w:rPr>
          <w:bCs/>
          <w:b/>
        </w:rPr>
        <w:t xml:space="preserve">Warm-up:</w:t>
      </w:r>
      <w:r>
        <w:t xml:space="preserve"> </w:t>
      </w:r>
      <w:r>
        <w:t xml:space="preserve">A 5-minute warm-up period with no background noise.</w:t>
      </w:r>
    </w:p>
    <w:p>
      <w:pPr>
        <w:numPr>
          <w:ilvl w:val="0"/>
          <w:numId w:val="1006"/>
        </w:numPr>
        <w:pStyle w:val="Compact"/>
      </w:pPr>
      <w:r>
        <w:rPr>
          <w:bCs/>
          <w:b/>
        </w:rPr>
        <w:t xml:space="preserve">Task:</w:t>
      </w:r>
      <w:r>
        <w:t xml:space="preserve"> </w:t>
      </w:r>
      <w:r>
        <w:t xml:space="preserve">The Musician will perform a standardized musical piece of moderate complexity for 10 minutes under the assigned acoustic condition.</w:t>
      </w:r>
    </w:p>
    <w:p>
      <w:pPr>
        <w:numPr>
          <w:ilvl w:val="0"/>
          <w:numId w:val="1006"/>
        </w:numPr>
        <w:pStyle w:val="Compact"/>
      </w:pPr>
      <w:r>
        <w:rPr>
          <w:bCs/>
          <w:b/>
        </w:rPr>
        <w:t xml:space="preserve">Assessment:</w:t>
      </w:r>
      <w:r>
        <w:t xml:space="preserve"> </w:t>
      </w:r>
      <w:r>
        <w:t xml:space="preserve">Immediately after the performance, the Musician will complete the NASA-TLX questionnaire to report perceived cognitive load.</w:t>
      </w:r>
    </w:p>
    <w:p>
      <w:pPr>
        <w:numPr>
          <w:ilvl w:val="0"/>
          <w:numId w:val="1006"/>
        </w:numPr>
        <w:pStyle w:val="Compact"/>
      </w:pPr>
      <w:r>
        <w:rPr>
          <w:bCs/>
          <w:b/>
        </w:rPr>
        <w:t xml:space="preserve">Rest:</w:t>
      </w:r>
      <w:r>
        <w:t xml:space="preserve"> </w:t>
      </w:r>
      <w:r>
        <w:t xml:space="preserve">A 10-minute rest period between conditions.</w:t>
      </w:r>
    </w:p>
    <w:p>
      <w:pPr>
        <w:pStyle w:val="FirstParagraph"/>
      </w:pPr>
      <w:r>
        <w:t xml:space="preserve">This process will be repeated for all three conditions.</w:t>
      </w:r>
    </w:p>
    <w:bookmarkEnd w:id="30"/>
    <w:bookmarkEnd w:id="31"/>
    <w:bookmarkStart w:id="32" w:name="data-analysis"/>
    <w:p>
      <w:pPr>
        <w:pStyle w:val="Heading2"/>
      </w:pPr>
      <w:r>
        <w:t xml:space="preserve">7. Data Analysis</w:t>
      </w:r>
    </w:p>
    <w:p>
      <w:pPr>
        <w:pStyle w:val="FirstParagraph"/>
      </w:pPr>
      <w:r>
        <w:t xml:space="preserve">Performance accuracy will be analyzed using audio software to detect timing errors, pitch deviations, and dynamic inconsistencies. Biometric data will be analyzed to identify correlations between environmental noise and physiological stress. Subjective cognitive load scores will be compared across conditions using repeated-measures ANOVA.</w:t>
      </w:r>
    </w:p>
    <w:bookmarkEnd w:id="32"/>
    <w:bookmarkStart w:id="33" w:name="ethical-considerations"/>
    <w:p>
      <w:pPr>
        <w:pStyle w:val="Heading2"/>
      </w:pPr>
      <w:r>
        <w:t xml:space="preserve">8. Ethical Considerations</w:t>
      </w:r>
    </w:p>
    <w:p>
      <w:pPr>
        <w:pStyle w:val="FirstParagraph"/>
      </w:pPr>
      <w:r>
        <w:t xml:space="preserve">This Experiment Protocol has been reviewed and approved by the Research Ethics Board of a recognized institution in Canada Toronto. All data will be anonymized and stored securely in compliance with the Personal Information Protection and Electronic Documents Act (PIPEDA). Participants may withdraw from the study at any time without penalty.</w:t>
      </w:r>
    </w:p>
    <w:bookmarkEnd w:id="33"/>
    <w:bookmarkStart w:id="34" w:name="conclusion"/>
    <w:p>
      <w:pPr>
        <w:pStyle w:val="Heading2"/>
      </w:pPr>
      <w:r>
        <w:t xml:space="preserve">9. Conclusion</w:t>
      </w:r>
    </w:p>
    <w:p>
      <w:pPr>
        <w:pStyle w:val="FirstParagraph"/>
      </w:pPr>
      <w:r>
        <w:t xml:space="preserve">This Experiment Protocol provides a structured approach to understanding the challenges faced by a Musician in the unique acoustic environment of Canada Toronto. The findings will contribute to the broader knowledge of environmental psychology and music performance, offering insights that can benefit musicians, educators, and urban planners alike.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Cognitive Load in Toronto</dc:title>
  <dc:creator/>
  <dc:language>en</dc:language>
  <cp:keywords/>
  <dcterms:created xsi:type="dcterms:W3CDTF">2026-10-10T06:21:56Z</dcterms:created>
  <dcterms:modified xsi:type="dcterms:W3CDTF">2026-10-10T06:21:56Z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