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China</w:t>
      </w:r>
      <w:r>
        <w:t xml:space="preserve"> </w:t>
      </w:r>
      <w:r>
        <w:t xml:space="preserve">Beijing</w:t>
      </w:r>
    </w:p>
    <w:bookmarkStart w:id="33" w:name="X795a4568d08db27f333482f009219c6dd15e469"/>
    <w:p>
      <w:pPr>
        <w:pStyle w:val="Heading1"/>
      </w:pPr>
      <w:r>
        <w:t xml:space="preserve">Experiment Protocol: Musician Study in China Beijing</w:t>
      </w:r>
    </w:p>
    <w:p>
      <w:pPr>
        <w:pStyle w:val="FirstParagraph"/>
      </w:pPr>
      <w:r>
        <w:rPr>
          <w:bCs/>
          <w:b/>
        </w:rPr>
        <w:t xml:space="preserve">Protocol Title:</w:t>
      </w:r>
      <w:r>
        <w:t xml:space="preserve"> </w:t>
      </w:r>
      <w:r>
        <w:t xml:space="preserve">Cognitive and Physiological Responses of Professional Musicians to Traditional and Contemporary Musical Stimuli in an Urban Environment</w:t>
      </w:r>
    </w:p>
    <w:p>
      <w:pPr>
        <w:pStyle w:val="BodyText"/>
      </w:pPr>
      <w:r>
        <w:rPr>
          <w:bCs/>
          <w:b/>
        </w:rPr>
        <w:t xml:space="preserve">Location:</w:t>
      </w:r>
      <w:r>
        <w:t xml:space="preserve"> </w:t>
      </w:r>
      <w:r>
        <w:t xml:space="preserve">China Beijing</w:t>
      </w:r>
    </w:p>
    <w:p>
      <w:pPr>
        <w:pStyle w:val="BodyText"/>
      </w:pPr>
      <w:r>
        <w:rPr>
          <w:bCs/>
          <w:b/>
        </w:rPr>
        <w:t xml:space="preserve">Target Population:</w:t>
      </w:r>
      <w:r>
        <w:t xml:space="preserve"> </w:t>
      </w:r>
      <w:r>
        <w:t xml:space="preserve">Professional and Semi-Professional Musicians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cognitive and physiological responses of musicians within the unique cultural and environmental context of China Beijing. Beijing, as a major cultural hub, offers a rich tapestry of musical traditions, from classical Chinese instruments to modern Western orchestras and contemporary genres. This study aims to explore how musicians in this diverse environment process and respond to different types of musical stimuli.</w:t>
      </w:r>
    </w:p>
    <w:p>
      <w:pPr>
        <w:pStyle w:val="BodyText"/>
      </w:pPr>
      <w:r>
        <w:t xml:space="preserve">The research is particularly relevant given the increasing interest in the intersection of music, cognition, and urban living. By focusing on musicians in China Beijing, we can gain insights into how cultural background, training, and environmental factors influence musical perception and performance.</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investigate the cognitive processing of musical stimuli among professional and semi-professional musicians in China Beijing.</w:t>
      </w:r>
    </w:p>
    <w:p>
      <w:pPr>
        <w:numPr>
          <w:ilvl w:val="0"/>
          <w:numId w:val="1001"/>
        </w:numPr>
        <w:pStyle w:val="Compact"/>
      </w:pPr>
      <w:r>
        <w:t xml:space="preserve">To assess the physiological responses of musicians to traditional Chinese and contemporary Western musical pieces.</w:t>
      </w:r>
    </w:p>
    <w:p>
      <w:pPr>
        <w:numPr>
          <w:ilvl w:val="0"/>
          <w:numId w:val="1001"/>
        </w:numPr>
        <w:pStyle w:val="Compact"/>
      </w:pPr>
      <w:r>
        <w:t xml:space="preserve">To explore the impact of cultural background and musical training on perception and emotional response.</w:t>
      </w:r>
    </w:p>
    <w:p>
      <w:pPr>
        <w:numPr>
          <w:ilvl w:val="0"/>
          <w:numId w:val="1001"/>
        </w:numPr>
        <w:pStyle w:val="Compact"/>
      </w:pPr>
      <w:r>
        <w:t xml:space="preserve">To provide recommendations for music education and performance practices in urban environments like China Beijing.</w:t>
      </w:r>
    </w:p>
    <w:bookmarkEnd w:id="21"/>
    <w:bookmarkStart w:id="25" w:name="participants"/>
    <w:p>
      <w:pPr>
        <w:pStyle w:val="Heading2"/>
      </w:pPr>
      <w:r>
        <w:t xml:space="preserve">3. Participants</w:t>
      </w:r>
    </w:p>
    <w:bookmarkStart w:id="22" w:name="inclusion-criteria"/>
    <w:p>
      <w:pPr>
        <w:pStyle w:val="Heading3"/>
      </w:pPr>
      <w:r>
        <w:t xml:space="preserve">3.1 Inclusion Criteria</w:t>
      </w:r>
    </w:p>
    <w:p>
      <w:pPr>
        <w:numPr>
          <w:ilvl w:val="0"/>
          <w:numId w:val="1002"/>
        </w:numPr>
        <w:pStyle w:val="Compact"/>
      </w:pPr>
      <w:r>
        <w:t xml:space="preserve">Professional or semi-professional musicians currently residing in China Beijing.</w:t>
      </w:r>
    </w:p>
    <w:p>
      <w:pPr>
        <w:numPr>
          <w:ilvl w:val="0"/>
          <w:numId w:val="1002"/>
        </w:numPr>
        <w:pStyle w:val="Compact"/>
      </w:pPr>
      <w:r>
        <w:t xml:space="preserve">Minimum of 5 years of formal musical training.</w:t>
      </w:r>
    </w:p>
    <w:p>
      <w:pPr>
        <w:numPr>
          <w:ilvl w:val="0"/>
          <w:numId w:val="1002"/>
        </w:numPr>
        <w:pStyle w:val="Compact"/>
      </w:pPr>
      <w:r>
        <w:t xml:space="preserve">Age range: 18-60 years.</w:t>
      </w:r>
    </w:p>
    <w:p>
      <w:pPr>
        <w:numPr>
          <w:ilvl w:val="0"/>
          <w:numId w:val="1002"/>
        </w:numPr>
        <w:pStyle w:val="Compact"/>
      </w:pPr>
      <w:r>
        <w:t xml:space="preserve">Fluency in Mandarin Chinese or English.</w:t>
      </w:r>
    </w:p>
    <w:bookmarkEnd w:id="22"/>
    <w:bookmarkStart w:id="23" w:name="exclusion-criteria"/>
    <w:p>
      <w:pPr>
        <w:pStyle w:val="Heading3"/>
      </w:pPr>
      <w:r>
        <w:t xml:space="preserve">3.2 Exclusion Criteria</w:t>
      </w:r>
    </w:p>
    <w:p>
      <w:pPr>
        <w:numPr>
          <w:ilvl w:val="0"/>
          <w:numId w:val="1003"/>
        </w:numPr>
        <w:pStyle w:val="Compact"/>
      </w:pPr>
      <w:r>
        <w:t xml:space="preserve">History of neurological disorders or hearing impairments.</w:t>
      </w:r>
    </w:p>
    <w:p>
      <w:pPr>
        <w:numPr>
          <w:ilvl w:val="0"/>
          <w:numId w:val="1003"/>
        </w:numPr>
        <w:pStyle w:val="Compact"/>
      </w:pPr>
      <w:r>
        <w:t xml:space="preserve">Current use of medications that may affect cognitive or physiological responses.</w:t>
      </w:r>
    </w:p>
    <w:p>
      <w:pPr>
        <w:numPr>
          <w:ilvl w:val="0"/>
          <w:numId w:val="1003"/>
        </w:numPr>
        <w:pStyle w:val="Compact"/>
      </w:pPr>
      <w:r>
        <w:t xml:space="preserve">Participation in other music-related studies within the past 6 months.</w:t>
      </w:r>
    </w:p>
    <w:bookmarkEnd w:id="23"/>
    <w:bookmarkStart w:id="24" w:name="recruitment"/>
    <w:p>
      <w:pPr>
        <w:pStyle w:val="Heading3"/>
      </w:pPr>
      <w:r>
        <w:t xml:space="preserve">3.3 Recruitment</w:t>
      </w:r>
    </w:p>
    <w:p>
      <w:pPr>
        <w:pStyle w:val="FirstParagraph"/>
      </w:pPr>
      <w:r>
        <w:t xml:space="preserve">Participants will be recruited through local music conservatories, orchestras, and cultural centers in China Beijing. Recruitment materials will be distributed in both Mandarin and English to ensure inclusivity.</w:t>
      </w:r>
    </w:p>
    <w:bookmarkEnd w:id="24"/>
    <w:bookmarkEnd w:id="25"/>
    <w:bookmarkStart w:id="28" w:name="experimental-design"/>
    <w:p>
      <w:pPr>
        <w:pStyle w:val="Heading2"/>
      </w:pPr>
      <w:r>
        <w:t xml:space="preserve">4. Experimental Design</w:t>
      </w:r>
    </w:p>
    <w:bookmarkStart w:id="26" w:name="study-type"/>
    <w:p>
      <w:pPr>
        <w:pStyle w:val="Heading3"/>
      </w:pPr>
      <w:r>
        <w:t xml:space="preserve">4.1 Study Type</w:t>
      </w:r>
    </w:p>
    <w:p>
      <w:pPr>
        <w:pStyle w:val="FirstParagraph"/>
      </w:pPr>
      <w:r>
        <w:t xml:space="preserve">This study will employ a mixed-methods approach, combining quantitative measures (e.g., EEG, heart rate variability) with qualitative data (e.g., interviews, surveys).</w:t>
      </w:r>
    </w:p>
    <w:bookmarkEnd w:id="26"/>
    <w:bookmarkStart w:id="27" w:name="procedure"/>
    <w:p>
      <w:pPr>
        <w:pStyle w:val="Heading3"/>
      </w:pPr>
      <w:r>
        <w:t xml:space="preserve">4.2 Procedure</w:t>
      </w:r>
    </w:p>
    <w:p>
      <w:pPr>
        <w:numPr>
          <w:ilvl w:val="0"/>
          <w:numId w:val="1004"/>
        </w:numPr>
        <w:pStyle w:val="Compact"/>
      </w:pPr>
      <w:r>
        <w:rPr>
          <w:bCs/>
          <w:b/>
        </w:rPr>
        <w:t xml:space="preserve">Screening:</w:t>
      </w:r>
      <w:r>
        <w:t xml:space="preserve"> </w:t>
      </w:r>
      <w:r>
        <w:t xml:space="preserve">Potential participants will undergo a screening process to ensure they meet the inclusion and exclusion criteria.</w:t>
      </w:r>
    </w:p>
    <w:p>
      <w:pPr>
        <w:numPr>
          <w:ilvl w:val="0"/>
          <w:numId w:val="1004"/>
        </w:numPr>
        <w:pStyle w:val="Compact"/>
      </w:pPr>
      <w:r>
        <w:rPr>
          <w:bCs/>
          <w:b/>
        </w:rPr>
        <w:t xml:space="preserve">Informed Consent:</w:t>
      </w:r>
      <w:r>
        <w:t xml:space="preserve"> </w:t>
      </w:r>
      <w:r>
        <w:t xml:space="preserve">Participants will provide written informed consent after receiving detailed information about the study.</w:t>
      </w:r>
    </w:p>
    <w:p>
      <w:pPr>
        <w:numPr>
          <w:ilvl w:val="0"/>
          <w:numId w:val="1004"/>
        </w:numPr>
        <w:pStyle w:val="Compact"/>
      </w:pPr>
      <w:r>
        <w:rPr>
          <w:bCs/>
          <w:b/>
        </w:rPr>
        <w:t xml:space="preserve">Baseline Measurements:</w:t>
      </w:r>
      <w:r>
        <w:t xml:space="preserve"> </w:t>
      </w:r>
      <w:r>
        <w:t xml:space="preserve">Initial cognitive and physiological baselines will be established.</w:t>
      </w:r>
    </w:p>
    <w:p>
      <w:pPr>
        <w:numPr>
          <w:ilvl w:val="0"/>
          <w:numId w:val="1004"/>
        </w:numPr>
        <w:pStyle w:val="Compact"/>
      </w:pPr>
      <w:r>
        <w:rPr>
          <w:bCs/>
          <w:b/>
        </w:rPr>
        <w:t xml:space="preserve">Stimulus Presentation:</w:t>
      </w:r>
      <w:r>
        <w:t xml:space="preserve"> </w:t>
      </w:r>
      <w:r>
        <w:t xml:space="preserve">Participants will listen to a series of musical stimuli, including traditional Chinese pieces (e.g., guzheng, erhu) and contemporary Western compositions.</w:t>
      </w:r>
    </w:p>
    <w:p>
      <w:pPr>
        <w:numPr>
          <w:ilvl w:val="0"/>
          <w:numId w:val="1004"/>
        </w:numPr>
        <w:pStyle w:val="Compact"/>
      </w:pPr>
      <w:r>
        <w:rPr>
          <w:bCs/>
          <w:b/>
        </w:rPr>
        <w:t xml:space="preserve">Data Collection:</w:t>
      </w:r>
      <w:r>
        <w:t xml:space="preserve"> </w:t>
      </w:r>
      <w:r>
        <w:t xml:space="preserve">EEG, heart rate, and self-reported emotional responses will be recorded during stimulus presentation.</w:t>
      </w:r>
    </w:p>
    <w:p>
      <w:pPr>
        <w:numPr>
          <w:ilvl w:val="0"/>
          <w:numId w:val="1004"/>
        </w:numPr>
        <w:pStyle w:val="Compact"/>
      </w:pPr>
      <w:r>
        <w:rPr>
          <w:bCs/>
          <w:b/>
        </w:rPr>
        <w:t xml:space="preserve">Post-Experiment Interviews:</w:t>
      </w:r>
      <w:r>
        <w:t xml:space="preserve"> </w:t>
      </w:r>
      <w:r>
        <w:t xml:space="preserve">Participants will engage in semi-structured interviews to discuss their experiences and perceptions.</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the ethical guidelines set forth by the Declaration of Helsinki and local regulations in China Beijing. Key ethical considerations include:</w:t>
      </w:r>
    </w:p>
    <w:p>
      <w:pPr>
        <w:numPr>
          <w:ilvl w:val="0"/>
          <w:numId w:val="1005"/>
        </w:numPr>
        <w:pStyle w:val="Compact"/>
      </w:pPr>
      <w:r>
        <w:t xml:space="preserve">Ensuring informed consent from all participants.</w:t>
      </w:r>
    </w:p>
    <w:p>
      <w:pPr>
        <w:numPr>
          <w:ilvl w:val="0"/>
          <w:numId w:val="1005"/>
        </w:numPr>
        <w:pStyle w:val="Compact"/>
      </w:pPr>
      <w:r>
        <w:t xml:space="preserve">Maintaining confidentiality and anonymity of participant data.</w:t>
      </w:r>
    </w:p>
    <w:p>
      <w:pPr>
        <w:numPr>
          <w:ilvl w:val="0"/>
          <w:numId w:val="1005"/>
        </w:numPr>
        <w:pStyle w:val="Compact"/>
      </w:pPr>
      <w:r>
        <w:t xml:space="preserve">Providing participants with the option to withdraw from the study at any time without penalty.</w:t>
      </w:r>
    </w:p>
    <w:p>
      <w:pPr>
        <w:numPr>
          <w:ilvl w:val="0"/>
          <w:numId w:val="1005"/>
        </w:numPr>
        <w:pStyle w:val="Compact"/>
      </w:pPr>
      <w:r>
        <w:t xml:space="preserve">Minimizing any potential discomfort or stress during the experiment.</w:t>
      </w:r>
    </w:p>
    <w:bookmarkEnd w:id="29"/>
    <w:bookmarkStart w:id="30" w:name="data-analysis"/>
    <w:p>
      <w:pPr>
        <w:pStyle w:val="Heading2"/>
      </w:pPr>
      <w:r>
        <w:t xml:space="preserve">6. Data Analysis</w:t>
      </w:r>
    </w:p>
    <w:p>
      <w:pPr>
        <w:pStyle w:val="FirstParagraph"/>
      </w:pPr>
      <w:r>
        <w:t xml:space="preserve">Data will be analyzed using statistical software to identify patterns and correlations between musical stimuli, cognitive processing, and physiological responses. Qualitative data from interviews will be thematically analyzed to provide deeper insights into participants' experiences.</w:t>
      </w:r>
    </w:p>
    <w:bookmarkEnd w:id="30"/>
    <w:bookmarkStart w:id="31" w:name="expected-outcomes"/>
    <w:p>
      <w:pPr>
        <w:pStyle w:val="Heading2"/>
      </w:pPr>
      <w:r>
        <w:t xml:space="preserve">7. Expected Outcomes</w:t>
      </w:r>
    </w:p>
    <w:p>
      <w:pPr>
        <w:pStyle w:val="FirstParagraph"/>
      </w:pPr>
      <w:r>
        <w:t xml:space="preserve">This study aims to contribute to the understanding of how musicians in China Beijing perceive and respond to different musical stimuli. The findings may inform music education practices, performance strategies, and cultural preservation efforts in urban environments.</w:t>
      </w:r>
    </w:p>
    <w:bookmarkEnd w:id="31"/>
    <w:bookmarkStart w:id="32" w:name="conclusion"/>
    <w:p>
      <w:pPr>
        <w:pStyle w:val="Heading2"/>
      </w:pPr>
      <w:r>
        <w:t xml:space="preserve">8. Conclusion</w:t>
      </w:r>
    </w:p>
    <w:p>
      <w:pPr>
        <w:pStyle w:val="FirstParagraph"/>
      </w:pPr>
      <w:r>
        <w:t xml:space="preserve">This Experiment Protocol provides a structured approach to studying the cognitive and physiological responses of musicians in China Beijing. By focusing on this unique population and environment, we hope to generate valuable insights that can benefit both the scientific community and the musical arts.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China Beijing</dc:title>
  <dc:creator/>
  <dc:language>en</dc:language>
  <cp:keywords/>
  <dcterms:created xsi:type="dcterms:W3CDTF">2026-10-10T08:59:56Z</dcterms:created>
  <dcterms:modified xsi:type="dcterms:W3CDTF">2026-10-10T08:59:56Z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