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Study</w:t>
      </w:r>
      <w:r>
        <w:t xml:space="preserve"> </w:t>
      </w:r>
      <w:r>
        <w:t xml:space="preserve">in</w:t>
      </w:r>
      <w:r>
        <w:t xml:space="preserve"> </w:t>
      </w:r>
      <w:r>
        <w:t xml:space="preserve">Netherlands</w:t>
      </w:r>
      <w:r>
        <w:t xml:space="preserve"> </w:t>
      </w:r>
      <w:r>
        <w:t xml:space="preserve">Amsterdam</w:t>
      </w:r>
    </w:p>
    <w:bookmarkStart w:id="31" w:name="X7cedbd5c6dc9ff37468e21f64e8bcc838ed2099"/>
    <w:p>
      <w:pPr>
        <w:pStyle w:val="Heading1"/>
      </w:pPr>
      <w:r>
        <w:t xml:space="preserve">Experiment Protocol: Musician Study in Netherlands Amsterdam</w:t>
      </w:r>
    </w:p>
    <w:bookmarkStart w:id="20" w:name="introduction-and-background"/>
    <w:p>
      <w:pPr>
        <w:pStyle w:val="Heading2"/>
      </w:pPr>
      <w:r>
        <w:t xml:space="preserve">1. Introduction and Background</w:t>
      </w:r>
    </w:p>
    <w:p>
      <w:pPr>
        <w:pStyle w:val="FirstParagraph"/>
      </w:pPr>
      <w:r>
        <w:t xml:space="preserve">This Experiment Protocol outlines the methodology for a comprehensive study focused on the Musician population residing in Netherlands Amsterdam. Amsterdam, known for its vibrant cultural scene and rich musical heritage, provides an ideal environment for investigating the unique challenges and opportunities faced by professional and semi-professional musicians. The study aims to explore the impact of urban living conditions, cultural policies, and technological advancements on the creative processes, mental health, and career sustainability of musicians in this dynamic city.</w:t>
      </w:r>
    </w:p>
    <w:p>
      <w:pPr>
        <w:pStyle w:val="BodyText"/>
      </w:pPr>
      <w:r>
        <w:t xml:space="preserve">The Netherlands Amsterdam region is home to a diverse array of musical genres, from classical and jazz to electronic and world music. This diversity offers a unique opportunity to examine how different musical backgrounds influence the experiences of musicians within the same urban context. By focusing on this specific demographic and location, the study seeks to contribute valuable insights to the fields of musicology, urban sociology, and cultural policy.</w:t>
      </w:r>
    </w:p>
    <w:bookmarkEnd w:id="20"/>
    <w:bookmarkStart w:id="21"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assess the impact of Amsterdam's urban environment on the creative output and well-being of musicians.</w:t>
      </w:r>
    </w:p>
    <w:p>
      <w:pPr>
        <w:numPr>
          <w:ilvl w:val="0"/>
          <w:numId w:val="1001"/>
        </w:numPr>
        <w:pStyle w:val="Compact"/>
      </w:pPr>
      <w:r>
        <w:t xml:space="preserve">To evaluate the effectiveness of current cultural policies and support systems for musicians in Netherlands Amsterdam.</w:t>
      </w:r>
    </w:p>
    <w:p>
      <w:pPr>
        <w:numPr>
          <w:ilvl w:val="0"/>
          <w:numId w:val="1001"/>
        </w:numPr>
        <w:pStyle w:val="Compact"/>
      </w:pPr>
      <w:r>
        <w:t xml:space="preserve">To investigate the role of technology in shaping the careers and creative processes of musicians in this region.</w:t>
      </w:r>
    </w:p>
    <w:p>
      <w:pPr>
        <w:numPr>
          <w:ilvl w:val="0"/>
          <w:numId w:val="1001"/>
        </w:numPr>
        <w:pStyle w:val="Compact"/>
      </w:pPr>
      <w:r>
        <w:t xml:space="preserve">To identify key challenges and opportunities faced by musicians in Amsterdam and propose actionable recommendations for stakeholders.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mixed-methods approach, combining quantitative surveys and qualitative interviews to gather comprehensive data from the Musician population in Netherlands Amsterdam. The study will be conducted over a period of six months, with data collection occurring in three phases.</w:t>
      </w:r>
    </w:p>
    <w:bookmarkEnd w:id="22"/>
    <w:bookmarkStart w:id="23" w:name="participant-selection"/>
    <w:p>
      <w:pPr>
        <w:pStyle w:val="Heading3"/>
      </w:pPr>
      <w:r>
        <w:t xml:space="preserve">3.2 Participant Selection</w:t>
      </w:r>
    </w:p>
    <w:p>
      <w:pPr>
        <w:pStyle w:val="FirstParagraph"/>
      </w:pPr>
      <w:r>
        <w:t xml:space="preserve">Participants will be recruited through various channels, including music schools, cultural organizations, and online platforms. The target sample size is 200 musicians, with a diverse representation of genres, ages, and career stages. Inclusion criteria include:</w:t>
      </w:r>
    </w:p>
    <w:p>
      <w:pPr>
        <w:numPr>
          <w:ilvl w:val="0"/>
          <w:numId w:val="1002"/>
        </w:numPr>
        <w:pStyle w:val="Compact"/>
      </w:pPr>
      <w:r>
        <w:t xml:space="preserve">Residing in Netherlands Amsterdam for at least one year.</w:t>
      </w:r>
    </w:p>
    <w:p>
      <w:pPr>
        <w:numPr>
          <w:ilvl w:val="0"/>
          <w:numId w:val="1002"/>
        </w:numPr>
        <w:pStyle w:val="Compact"/>
      </w:pPr>
      <w:r>
        <w:t xml:space="preserve">Identifying as a professional or semi-professional musician.</w:t>
      </w:r>
    </w:p>
    <w:p>
      <w:pPr>
        <w:numPr>
          <w:ilvl w:val="0"/>
          <w:numId w:val="1002"/>
        </w:numPr>
        <w:pStyle w:val="Compact"/>
      </w:pPr>
      <w:r>
        <w:t xml:space="preserve">Willingness to participate in both survey and interview components.</w:t>
      </w:r>
    </w:p>
    <w:bookmarkEnd w:id="23"/>
    <w:bookmarkStart w:id="24" w:name="data-collection"/>
    <w:p>
      <w:pPr>
        <w:pStyle w:val="Heading3"/>
      </w:pPr>
      <w:r>
        <w:t xml:space="preserve">3.3 Data Collection</w:t>
      </w:r>
    </w:p>
    <w:p>
      <w:pPr>
        <w:pStyle w:val="FirstParagraph"/>
      </w:pPr>
      <w:r>
        <w:t xml:space="preserve">Data will be collected using the following methods:</w:t>
      </w:r>
    </w:p>
    <w:p>
      <w:pPr>
        <w:numPr>
          <w:ilvl w:val="0"/>
          <w:numId w:val="1003"/>
        </w:numPr>
        <w:pStyle w:val="Compact"/>
      </w:pPr>
      <w:r>
        <w:rPr>
          <w:bCs/>
          <w:b/>
        </w:rPr>
        <w:t xml:space="preserve">Online Survey:</w:t>
      </w:r>
      <w:r>
        <w:t xml:space="preserve"> </w:t>
      </w:r>
      <w:r>
        <w:t xml:space="preserve">A structured questionnaire will be distributed to gather quantitative data on demographics, career status, mental health, and perceptions of the urban environment.</w:t>
      </w:r>
    </w:p>
    <w:p>
      <w:pPr>
        <w:numPr>
          <w:ilvl w:val="0"/>
          <w:numId w:val="1003"/>
        </w:numPr>
        <w:pStyle w:val="Compact"/>
      </w:pPr>
      <w:r>
        <w:rPr>
          <w:bCs/>
          <w:b/>
        </w:rPr>
        <w:t xml:space="preserve">Semi-Structured Interviews:</w:t>
      </w:r>
      <w:r>
        <w:t xml:space="preserve"> </w:t>
      </w:r>
      <w:r>
        <w:t xml:space="preserve">In-depth interviews will be conducted with a subset of 50 participants to explore their experiences and perspectives in greater detail.</w:t>
      </w:r>
    </w:p>
    <w:p>
      <w:pPr>
        <w:numPr>
          <w:ilvl w:val="0"/>
          <w:numId w:val="1003"/>
        </w:numPr>
        <w:pStyle w:val="Compact"/>
      </w:pPr>
      <w:r>
        <w:rPr>
          <w:bCs/>
          <w:b/>
        </w:rPr>
        <w:t xml:space="preserve">Observational Studies:</w:t>
      </w:r>
      <w:r>
        <w:t xml:space="preserve"> </w:t>
      </w:r>
      <w:r>
        <w:t xml:space="preserve">Researchers will observe music venues and rehearsal spaces in Amsterdam to gain insights into the physical and social environments of musicians.</w:t>
      </w:r>
    </w:p>
    <w:bookmarkEnd w:id="24"/>
    <w:bookmarkEnd w:id="25"/>
    <w:bookmarkStart w:id="26" w:name="ethical-considerations"/>
    <w:p>
      <w:pPr>
        <w:pStyle w:val="Heading2"/>
      </w:pPr>
      <w:r>
        <w:t xml:space="preserve">4. Ethical Considerations</w:t>
      </w:r>
    </w:p>
    <w:p>
      <w:pPr>
        <w:pStyle w:val="FirstParagraph"/>
      </w:pPr>
      <w:r>
        <w:t xml:space="preserve">This Experiment Protocol adheres to the highest ethical standards, ensuring the protection and well-being of all participants. Key ethical considerations include:</w:t>
      </w:r>
    </w:p>
    <w:p>
      <w:pPr>
        <w:numPr>
          <w:ilvl w:val="0"/>
          <w:numId w:val="1004"/>
        </w:numPr>
        <w:pStyle w:val="Compact"/>
      </w:pPr>
      <w:r>
        <w:rPr>
          <w:bCs/>
          <w:b/>
        </w:rPr>
        <w:t xml:space="preserve">Informed Consent:</w:t>
      </w:r>
      <w:r>
        <w:t xml:space="preserve"> </w:t>
      </w:r>
      <w:r>
        <w:t xml:space="preserve">All participants will provide informed consent before participating in the study.</w:t>
      </w:r>
    </w:p>
    <w:p>
      <w:pPr>
        <w:numPr>
          <w:ilvl w:val="0"/>
          <w:numId w:val="1004"/>
        </w:numPr>
        <w:pStyle w:val="Compact"/>
      </w:pPr>
      <w:r>
        <w:rPr>
          <w:bCs/>
          <w:b/>
        </w:rPr>
        <w:t xml:space="preserve">Confidentiality:</w:t>
      </w:r>
      <w:r>
        <w:t xml:space="preserve"> </w:t>
      </w:r>
      <w:r>
        <w:t xml:space="preserve">Personal information will be kept confidential and anonymized in all reports and publications.</w:t>
      </w:r>
    </w:p>
    <w:p>
      <w:pPr>
        <w:numPr>
          <w:ilvl w:val="0"/>
          <w:numId w:val="1004"/>
        </w:numPr>
        <w:pStyle w:val="Compact"/>
      </w:pPr>
      <w:r>
        <w:rPr>
          <w:bCs/>
          <w:b/>
        </w:rPr>
        <w:t xml:space="preserve">Voluntary Participation:</w:t>
      </w:r>
      <w:r>
        <w:t xml:space="preserve"> </w:t>
      </w:r>
      <w:r>
        <w:t xml:space="preserve">Participants will be free to withdraw from the study at any time without penalty.</w:t>
      </w:r>
    </w:p>
    <w:p>
      <w:pPr>
        <w:numPr>
          <w:ilvl w:val="0"/>
          <w:numId w:val="1004"/>
        </w:numPr>
        <w:pStyle w:val="Compact"/>
      </w:pPr>
      <w:r>
        <w:rPr>
          <w:bCs/>
          <w:b/>
        </w:rPr>
        <w:t xml:space="preserve">Data Security:</w:t>
      </w:r>
      <w:r>
        <w:t xml:space="preserve"> </w:t>
      </w:r>
      <w:r>
        <w:t xml:space="preserve">All data will be stored securely and accessed only by authorized researchers.</w:t>
      </w:r>
    </w:p>
    <w:bookmarkEnd w:id="26"/>
    <w:bookmarkStart w:id="27" w:name="data-analysis"/>
    <w:p>
      <w:pPr>
        <w:pStyle w:val="Heading2"/>
      </w:pPr>
      <w:r>
        <w:t xml:space="preserve">5. Data Analysis</w:t>
      </w:r>
    </w:p>
    <w:p>
      <w:pPr>
        <w:pStyle w:val="FirstParagraph"/>
      </w:pPr>
      <w:r>
        <w:t xml:space="preserve">Quantitative data will be analyzed using statistical software to identify trends and correlations. Qualitative data will be analyzed using thematic analysis to identify key themes and patterns. The integration of both types of data will provide a comprehensive understanding of the experiences of musicians in Netherlands Amsterdam.</w:t>
      </w:r>
    </w:p>
    <w:bookmarkEnd w:id="27"/>
    <w:bookmarkStart w:id="28" w:name="expected-outcomes"/>
    <w:p>
      <w:pPr>
        <w:pStyle w:val="Heading2"/>
      </w:pPr>
      <w:r>
        <w:t xml:space="preserve">6. Expected Outcomes</w:t>
      </w:r>
    </w:p>
    <w:p>
      <w:pPr>
        <w:pStyle w:val="FirstParagraph"/>
      </w:pPr>
      <w:r>
        <w:t xml:space="preserve">This study is expected to yield several important outcomes, including:</w:t>
      </w:r>
    </w:p>
    <w:p>
      <w:pPr>
        <w:numPr>
          <w:ilvl w:val="0"/>
          <w:numId w:val="1005"/>
        </w:numPr>
        <w:pStyle w:val="Compact"/>
      </w:pPr>
      <w:r>
        <w:t xml:space="preserve">A detailed understanding of the challenges and opportunities faced by musicians in Amsterdam.</w:t>
      </w:r>
    </w:p>
    <w:p>
      <w:pPr>
        <w:numPr>
          <w:ilvl w:val="0"/>
          <w:numId w:val="1005"/>
        </w:numPr>
        <w:pStyle w:val="Compact"/>
      </w:pPr>
      <w:r>
        <w:t xml:space="preserve">Recommendations for improving cultural policies and support systems for musicians.</w:t>
      </w:r>
    </w:p>
    <w:p>
      <w:pPr>
        <w:numPr>
          <w:ilvl w:val="0"/>
          <w:numId w:val="1005"/>
        </w:numPr>
        <w:pStyle w:val="Compact"/>
      </w:pPr>
      <w:r>
        <w:t xml:space="preserve">Insights into the role of technology and urban environments in shaping musical careers.</w:t>
      </w:r>
    </w:p>
    <w:p>
      <w:pPr>
        <w:numPr>
          <w:ilvl w:val="0"/>
          <w:numId w:val="1005"/>
        </w:numPr>
        <w:pStyle w:val="Compact"/>
      </w:pPr>
      <w:r>
        <w:t xml:space="preserve">Contributions to the broader fields of musicology, urban sociology, and cultural policy.</w:t>
      </w:r>
    </w:p>
    <w:bookmarkEnd w:id="28"/>
    <w:bookmarkStart w:id="29"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Phase 1</w:t>
            </w:r>
          </w:p>
        </w:tc>
        <w:tc>
          <w:tcPr/>
          <w:p>
            <w:pPr>
              <w:pStyle w:val="Compact"/>
              <w:jc w:val="left"/>
            </w:pPr>
            <w:r>
              <w:t xml:space="preserve">Months 1-2</w:t>
            </w:r>
          </w:p>
        </w:tc>
        <w:tc>
          <w:tcPr/>
          <w:p>
            <w:pPr>
              <w:pStyle w:val="Compact"/>
              <w:jc w:val="left"/>
            </w:pPr>
            <w:r>
              <w:t xml:space="preserve">Participant recruitment and survey distribution</w:t>
            </w:r>
          </w:p>
        </w:tc>
      </w:tr>
      <w:tr>
        <w:tc>
          <w:tcPr/>
          <w:p>
            <w:pPr>
              <w:pStyle w:val="Compact"/>
              <w:jc w:val="left"/>
            </w:pPr>
            <w:r>
              <w:t xml:space="preserve">Phase 2</w:t>
            </w:r>
          </w:p>
        </w:tc>
        <w:tc>
          <w:tcPr/>
          <w:p>
            <w:pPr>
              <w:pStyle w:val="Compact"/>
              <w:jc w:val="left"/>
            </w:pPr>
            <w:r>
              <w:t xml:space="preserve">Months 3-4</w:t>
            </w:r>
          </w:p>
        </w:tc>
        <w:tc>
          <w:tcPr/>
          <w:p>
            <w:pPr>
              <w:pStyle w:val="Compact"/>
              <w:jc w:val="left"/>
            </w:pPr>
            <w:r>
              <w:t xml:space="preserve">Interviews and observational studies</w:t>
            </w:r>
          </w:p>
        </w:tc>
      </w:tr>
      <w:tr>
        <w:tc>
          <w:tcPr/>
          <w:p>
            <w:pPr>
              <w:pStyle w:val="Compact"/>
              <w:jc w:val="left"/>
            </w:pPr>
            <w:r>
              <w:t xml:space="preserve">Phase 3</w:t>
            </w:r>
          </w:p>
        </w:tc>
        <w:tc>
          <w:tcPr/>
          <w:p>
            <w:pPr>
              <w:pStyle w:val="Compact"/>
              <w:jc w:val="left"/>
            </w:pPr>
            <w:r>
              <w:t xml:space="preserve">Months 5-6</w:t>
            </w:r>
          </w:p>
        </w:tc>
        <w:tc>
          <w:tcPr/>
          <w:p>
            <w:pPr>
              <w:pStyle w:val="Compact"/>
              <w:jc w:val="left"/>
            </w:pPr>
            <w:r>
              <w:t xml:space="preserve">Data analysis and report writing</w:t>
            </w:r>
          </w:p>
        </w:tc>
      </w:tr>
    </w:tbl>
    <w:bookmarkEnd w:id="29"/>
    <w:bookmarkStart w:id="30" w:name="conclusion"/>
    <w:p>
      <w:pPr>
        <w:pStyle w:val="Heading2"/>
      </w:pPr>
      <w:r>
        <w:t xml:space="preserve">8. Conclusion</w:t>
      </w:r>
    </w:p>
    <w:p>
      <w:pPr>
        <w:pStyle w:val="FirstParagraph"/>
      </w:pPr>
      <w:r>
        <w:t xml:space="preserve">This Experiment Protocol provides a robust framework for studying the Musician population in Netherlands Amsterdam. By employing a mixed-methods approach and adhering to high ethical standards, the study aims to generate valuable insights that can inform policy and practice. The findings will contribute to a deeper understanding of the unique experiences of musicians in this vibrant cultural hub and offer recommendations for enhancing their well-being and career sustainability.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Study in Netherlands Amsterdam</dc:title>
  <dc:creator/>
  <dc:language>en</dc:language>
  <cp:keywords/>
  <dcterms:created xsi:type="dcterms:W3CDTF">2026-10-10T07:22:59Z</dcterms:created>
  <dcterms:modified xsi:type="dcterms:W3CDTF">2026-10-10T07:22:59Z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