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Study</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b37ec2cd44cb125dc930917a0fad47ccf7b8d75"/>
    <w:p>
      <w:pPr>
        <w:pStyle w:val="Heading1"/>
      </w:pPr>
      <w:r>
        <w:t xml:space="preserve">Experiment Protocol: Musician Study in New Zealand Auckland</w:t>
      </w:r>
    </w:p>
    <w:p>
      <w:pPr>
        <w:pStyle w:val="FirstParagraph"/>
      </w:pPr>
      <w:r>
        <w:rPr>
          <w:bCs/>
          <w:b/>
        </w:rPr>
        <w:t xml:space="preserve">Protocol ID:</w:t>
      </w:r>
      <w:r>
        <w:t xml:space="preserve"> </w:t>
      </w:r>
      <w:r>
        <w:t xml:space="preserve">NZ-AKL-MUS-2024-001</w:t>
      </w:r>
    </w:p>
    <w:p>
      <w:pPr>
        <w:pStyle w:val="BodyText"/>
      </w:pPr>
      <w:r>
        <w:rPr>
          <w:bCs/>
          <w:b/>
        </w:rPr>
        <w:t xml:space="preserve">Location:</w:t>
      </w:r>
      <w:r>
        <w:t xml:space="preserve"> </w:t>
      </w:r>
      <w:r>
        <w:t xml:space="preserve">Auckland, New Zealand</w:t>
      </w:r>
    </w:p>
    <w:p>
      <w:pPr>
        <w:pStyle w:val="BodyText"/>
      </w:pPr>
      <w:r>
        <w:rPr>
          <w:bCs/>
          <w:b/>
        </w:rPr>
        <w:t xml:space="preserve">Target Population:</w:t>
      </w:r>
      <w:r>
        <w:t xml:space="preserve"> </w:t>
      </w:r>
      <w:r>
        <w:t xml:space="preserve">Professional and Semi-Professional Musicians</w:t>
      </w:r>
    </w:p>
    <w:p>
      <w:pPr>
        <w:pStyle w:val="BodyText"/>
      </w:pPr>
      <w:r>
        <w:rPr>
          <w:bCs/>
          <w:b/>
        </w:rPr>
        <w:t xml:space="preserve">Date of Issue:</w:t>
      </w:r>
      <w:r>
        <w:t xml:space="preserve"> </w:t>
      </w:r>
      <w:r>
        <w:t xml:space="preserve">October 2024</w:t>
      </w:r>
    </w:p>
    <w:bookmarkEnd w:id="20"/>
    <w:bookmarkStart w:id="21" w:name="introduction-and-background"/>
    <w:p>
      <w:pPr>
        <w:pStyle w:val="Heading2"/>
      </w:pPr>
      <w:r>
        <w:t xml:space="preserve">1. Introduction and Background</w:t>
      </w:r>
    </w:p>
    <w:p>
      <w:pPr>
        <w:pStyle w:val="FirstParagraph"/>
      </w:pPr>
      <w:r>
        <w:t xml:space="preserve">This Experiment Protocol outlines the procedures for a comprehensive study focused on the cognitive and physiological responses of musicians in the unique cultural and environmental context of New Zealand Auckland. Auckland, as the largest urban center in New Zealand, offers a diverse musical landscape ranging from traditional Māori and Pacific Islander music to contemporary Western genres. This diversity provides an ideal setting for examining how different musical training and performance environments influence neural plasticity, auditory processing, and stress regulation.</w:t>
      </w:r>
    </w:p>
    <w:p>
      <w:pPr>
        <w:pStyle w:val="BodyText"/>
      </w:pPr>
      <w:r>
        <w:t xml:space="preserve">The primary objective of this experiment is to investigate the relationship between long-term musical training and auditory-cognitive performance among musicians residing in Auckland. By focusing on this specific demographic, we aim to contribute to the broader understanding of how cultural and environmental factors in New Zealand may interact with musical expertise.</w:t>
      </w:r>
    </w:p>
    <w:bookmarkEnd w:id="21"/>
    <w:bookmarkStart w:id="22"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assess the auditory discrimination abilities of musicians compared to non-musicians in Auckland.</w:t>
      </w:r>
    </w:p>
    <w:p>
      <w:pPr>
        <w:numPr>
          <w:ilvl w:val="0"/>
          <w:numId w:val="1001"/>
        </w:numPr>
        <w:pStyle w:val="Compact"/>
      </w:pPr>
      <w:r>
        <w:t xml:space="preserve">To evaluate the impact of musical training on working memory and attentional control.</w:t>
      </w:r>
    </w:p>
    <w:p>
      <w:pPr>
        <w:numPr>
          <w:ilvl w:val="0"/>
          <w:numId w:val="1001"/>
        </w:numPr>
        <w:pStyle w:val="Compact"/>
      </w:pPr>
      <w:r>
        <w:t xml:space="preserve">To explore the physiological stress responses of musicians during live performance scenarios in Auckland venues.</w:t>
      </w:r>
    </w:p>
    <w:p>
      <w:pPr>
        <w:numPr>
          <w:ilvl w:val="0"/>
          <w:numId w:val="1001"/>
        </w:numPr>
        <w:pStyle w:val="Compact"/>
      </w:pPr>
      <w:r>
        <w:t xml:space="preserve">To analyze the role of cultural musical background in shaping cognitive and emotional responses.</w:t>
      </w:r>
    </w:p>
    <w:bookmarkEnd w:id="22"/>
    <w:bookmarkStart w:id="23" w:name="participants"/>
    <w:p>
      <w:pPr>
        <w:pStyle w:val="Heading2"/>
      </w:pPr>
      <w:r>
        <w:t xml:space="preserve">3. Participants</w:t>
      </w:r>
    </w:p>
    <w:p>
      <w:pPr>
        <w:pStyle w:val="FirstParagraph"/>
      </w:pPr>
      <w:r>
        <w:rPr>
          <w:bCs/>
          <w:b/>
        </w:rPr>
        <w:t xml:space="preserve">3.1 Inclusion Criteria:</w:t>
      </w:r>
    </w:p>
    <w:p>
      <w:pPr>
        <w:numPr>
          <w:ilvl w:val="0"/>
          <w:numId w:val="1002"/>
        </w:numPr>
        <w:pStyle w:val="Compact"/>
      </w:pPr>
      <w:r>
        <w:t xml:space="preserve">Individuals aged 18–65 years residing in Auckland, New Zealand.</w:t>
      </w:r>
    </w:p>
    <w:p>
      <w:pPr>
        <w:numPr>
          <w:ilvl w:val="0"/>
          <w:numId w:val="1002"/>
        </w:numPr>
        <w:pStyle w:val="Compact"/>
      </w:pPr>
      <w:r>
        <w:t xml:space="preserve">Minimum of 5 years of formal musical training.</w:t>
      </w:r>
    </w:p>
    <w:p>
      <w:pPr>
        <w:numPr>
          <w:ilvl w:val="0"/>
          <w:numId w:val="1002"/>
        </w:numPr>
        <w:pStyle w:val="Compact"/>
      </w:pPr>
      <w:r>
        <w:t xml:space="preserve">Current active engagement in musical performance or composition.</w:t>
      </w:r>
    </w:p>
    <w:p>
      <w:pPr>
        <w:numPr>
          <w:ilvl w:val="0"/>
          <w:numId w:val="1002"/>
        </w:numPr>
        <w:pStyle w:val="Compact"/>
      </w:pPr>
      <w:r>
        <w:t xml:space="preserve">Normal or corrected-to-normal hearing.</w:t>
      </w:r>
    </w:p>
    <w:p>
      <w:pPr>
        <w:numPr>
          <w:ilvl w:val="0"/>
          <w:numId w:val="1002"/>
        </w:numPr>
        <w:pStyle w:val="Compact"/>
      </w:pPr>
      <w:r>
        <w:t xml:space="preserve">Fluency in English or Te Reo Māori to ensure comprehension of instructions.</w:t>
      </w:r>
    </w:p>
    <w:p>
      <w:pPr>
        <w:pStyle w:val="FirstParagraph"/>
      </w:pPr>
      <w:r>
        <w:rPr>
          <w:bCs/>
          <w:b/>
        </w:rPr>
        <w:t xml:space="preserve">3.2 Exclusion Criteria:</w:t>
      </w:r>
    </w:p>
    <w:p>
      <w:pPr>
        <w:numPr>
          <w:ilvl w:val="0"/>
          <w:numId w:val="1003"/>
        </w:numPr>
        <w:pStyle w:val="Compact"/>
      </w:pPr>
      <w:r>
        <w:t xml:space="preserve">History of neurological disorders or psychiatric conditions.</w:t>
      </w:r>
    </w:p>
    <w:p>
      <w:pPr>
        <w:numPr>
          <w:ilvl w:val="0"/>
          <w:numId w:val="1003"/>
        </w:numPr>
        <w:pStyle w:val="Compact"/>
      </w:pPr>
      <w:r>
        <w:t xml:space="preserve">Use of medications known to affect cognitive or auditory function.</w:t>
      </w:r>
    </w:p>
    <w:p>
      <w:pPr>
        <w:numPr>
          <w:ilvl w:val="0"/>
          <w:numId w:val="1003"/>
        </w:numPr>
        <w:pStyle w:val="Compact"/>
      </w:pPr>
      <w:r>
        <w:t xml:space="preserve">Participation in other concurrent cognitive or auditory experiments.</w:t>
      </w:r>
    </w:p>
    <w:p>
      <w:pPr>
        <w:pStyle w:val="FirstParagraph"/>
      </w:pPr>
      <w:r>
        <w:rPr>
          <w:bCs/>
          <w:b/>
        </w:rPr>
        <w:t xml:space="preserve">3.3 Recruitment:</w:t>
      </w:r>
    </w:p>
    <w:p>
      <w:pPr>
        <w:pStyle w:val="BodyText"/>
      </w:pPr>
      <w:r>
        <w:t xml:space="preserve">Participants will be recruited through music schools, conservatories, community music groups, and online platforms in Auckland. Recruitment materials will emphasize the voluntary nature of participation and the importance of contributing to scientific research in New Zealand.</w:t>
      </w:r>
    </w:p>
    <w:bookmarkEnd w:id="23"/>
    <w:bookmarkStart w:id="24" w:name="experimental-design"/>
    <w:p>
      <w:pPr>
        <w:pStyle w:val="Heading2"/>
      </w:pPr>
      <w:r>
        <w:t xml:space="preserve">4. Experimental Design</w:t>
      </w:r>
    </w:p>
    <w:p>
      <w:pPr>
        <w:pStyle w:val="FirstParagraph"/>
      </w:pPr>
      <w:r>
        <w:t xml:space="preserve">This study employs a mixed-methods experimental design, combining quantitative measures with qualitative insights. The experiment will be conducted in controlled laboratory settings and selected live performance venues in Auckland.</w:t>
      </w:r>
    </w:p>
    <w:p>
      <w:pPr>
        <w:pStyle w:val="BodyText"/>
      </w:pPr>
      <w:r>
        <w:rPr>
          <w:bCs/>
          <w:b/>
        </w:rPr>
        <w:t xml:space="preserve">4.1 Quantitative Measures:</w:t>
      </w:r>
    </w:p>
    <w:p>
      <w:pPr>
        <w:numPr>
          <w:ilvl w:val="0"/>
          <w:numId w:val="1004"/>
        </w:numPr>
        <w:pStyle w:val="Compact"/>
      </w:pPr>
      <w:r>
        <w:rPr>
          <w:bCs/>
          <w:b/>
        </w:rPr>
        <w:t xml:space="preserve">Auditory Discrimination Tasks:</w:t>
      </w:r>
      <w:r>
        <w:t xml:space="preserve"> </w:t>
      </w:r>
      <w:r>
        <w:t xml:space="preserve">Participants will complete computer-based tasks assessing pitch, rhythm, and timbre discrimination.</w:t>
      </w:r>
    </w:p>
    <w:p>
      <w:pPr>
        <w:numPr>
          <w:ilvl w:val="0"/>
          <w:numId w:val="1004"/>
        </w:numPr>
        <w:pStyle w:val="Compact"/>
      </w:pPr>
      <w:r>
        <w:rPr>
          <w:bCs/>
          <w:b/>
        </w:rPr>
        <w:t xml:space="preserve">Cognitive Assessments:</w:t>
      </w:r>
      <w:r>
        <w:t xml:space="preserve"> </w:t>
      </w:r>
      <w:r>
        <w:t xml:space="preserve">Standardized tests will evaluate working memory, attention, and executive function.</w:t>
      </w:r>
    </w:p>
    <w:p>
      <w:pPr>
        <w:numPr>
          <w:ilvl w:val="0"/>
          <w:numId w:val="1004"/>
        </w:numPr>
        <w:pStyle w:val="Compact"/>
      </w:pPr>
      <w:r>
        <w:rPr>
          <w:bCs/>
          <w:b/>
        </w:rPr>
        <w:t xml:space="preserve">Physiological Monitoring:</w:t>
      </w:r>
      <w:r>
        <w:t xml:space="preserve"> </w:t>
      </w:r>
      <w:r>
        <w:t xml:space="preserve">Heart rate variability (HRV) and cortisol levels will be measured before, during, and after performance tasks.</w:t>
      </w:r>
    </w:p>
    <w:p>
      <w:pPr>
        <w:pStyle w:val="FirstParagraph"/>
      </w:pPr>
      <w:r>
        <w:rPr>
          <w:bCs/>
          <w:b/>
        </w:rPr>
        <w:t xml:space="preserve">4.2 Qualitative Measures:</w:t>
      </w:r>
    </w:p>
    <w:p>
      <w:pPr>
        <w:numPr>
          <w:ilvl w:val="0"/>
          <w:numId w:val="1005"/>
        </w:numPr>
        <w:pStyle w:val="Compact"/>
      </w:pPr>
      <w:r>
        <w:rPr>
          <w:bCs/>
          <w:b/>
        </w:rPr>
        <w:t xml:space="preserve">Interviews:</w:t>
      </w:r>
      <w:r>
        <w:t xml:space="preserve"> </w:t>
      </w:r>
      <w:r>
        <w:t xml:space="preserve">Semi-structured interviews will explore participants' experiences with musical training, performance anxiety, and cultural influences.</w:t>
      </w:r>
    </w:p>
    <w:p>
      <w:pPr>
        <w:numPr>
          <w:ilvl w:val="0"/>
          <w:numId w:val="1005"/>
        </w:numPr>
        <w:pStyle w:val="Compact"/>
      </w:pPr>
      <w:r>
        <w:rPr>
          <w:bCs/>
          <w:b/>
        </w:rPr>
        <w:t xml:space="preserve">Observational Data:</w:t>
      </w:r>
      <w:r>
        <w:t xml:space="preserve"> </w:t>
      </w:r>
      <w:r>
        <w:t xml:space="preserve">Researchers will document performance behaviors and audience interactions in Auckland venues.</w:t>
      </w:r>
    </w:p>
    <w:bookmarkEnd w:id="24"/>
    <w:bookmarkStart w:id="25" w:name="procedures"/>
    <w:p>
      <w:pPr>
        <w:pStyle w:val="Heading2"/>
      </w:pPr>
      <w:r>
        <w:t xml:space="preserve">5. Procedures</w:t>
      </w:r>
    </w:p>
    <w:p>
      <w:pPr>
        <w:pStyle w:val="FirstParagraph"/>
      </w:pPr>
      <w:r>
        <w:rPr>
          <w:bCs/>
          <w:b/>
        </w:rPr>
        <w:t xml:space="preserve">5.1 Initial Screening:</w:t>
      </w:r>
    </w:p>
    <w:p>
      <w:pPr>
        <w:pStyle w:val="BodyText"/>
      </w:pPr>
      <w:r>
        <w:t xml:space="preserve">Upon recruitment, participants will complete a screening questionnaire to verify eligibility. Those who meet the inclusion criteria will be scheduled for the experimental sessions.</w:t>
      </w:r>
    </w:p>
    <w:p>
      <w:pPr>
        <w:pStyle w:val="BodyText"/>
      </w:pPr>
      <w:r>
        <w:rPr>
          <w:bCs/>
          <w:b/>
        </w:rPr>
        <w:t xml:space="preserve">5.2 Laboratory Sessions:</w:t>
      </w:r>
    </w:p>
    <w:p>
      <w:pPr>
        <w:pStyle w:val="BodyText"/>
      </w:pPr>
      <w:r>
        <w:t xml:space="preserve">Participants will attend two laboratory sessions at a research facility in Auckland. Each session will last approximately 90 minutes and include auditory and cognitive tasks. Instructions will be provided in English or Te Reo Māori, as preferred by the participant.</w:t>
      </w:r>
    </w:p>
    <w:p>
      <w:pPr>
        <w:pStyle w:val="BodyText"/>
      </w:pPr>
      <w:r>
        <w:rPr>
          <w:bCs/>
          <w:b/>
        </w:rPr>
        <w:t xml:space="preserve">5.3 Performance Sessions:</w:t>
      </w:r>
    </w:p>
    <w:p>
      <w:pPr>
        <w:pStyle w:val="BodyText"/>
      </w:pPr>
      <w:r>
        <w:t xml:space="preserve">A subset of participants will perform in selected Auckland venues under monitored conditions. Physiological data will be collected using wearable devices, and performance quality will be assessed by trained evaluators.</w:t>
      </w:r>
    </w:p>
    <w:p>
      <w:pPr>
        <w:pStyle w:val="BodyText"/>
      </w:pPr>
      <w:r>
        <w:rPr>
          <w:bCs/>
          <w:b/>
        </w:rPr>
        <w:t xml:space="preserve">5.4 Follow-Up:</w:t>
      </w:r>
    </w:p>
    <w:p>
      <w:pPr>
        <w:pStyle w:val="BodyText"/>
      </w:pPr>
      <w:r>
        <w:t xml:space="preserve">Participants will be contacted one month after the final session for a brief follow-up interview to assess any lasting effects or changes in musical practice.</w:t>
      </w:r>
    </w:p>
    <w:bookmarkEnd w:id="25"/>
    <w:bookmarkStart w:id="26" w:name="ethical-considerations"/>
    <w:p>
      <w:pPr>
        <w:pStyle w:val="Heading2"/>
      </w:pPr>
      <w:r>
        <w:t xml:space="preserve">6. Ethical Considerations</w:t>
      </w:r>
    </w:p>
    <w:p>
      <w:pPr>
        <w:pStyle w:val="FirstParagraph"/>
      </w:pPr>
      <w:r>
        <w:t xml:space="preserve">This Experiment Protocol adheres to the ethical guidelines established by the New Zealand Health and Disability Ethics Committee (HDEC). Key ethical considerations include:</w:t>
      </w:r>
    </w:p>
    <w:p>
      <w:pPr>
        <w:numPr>
          <w:ilvl w:val="0"/>
          <w:numId w:val="1006"/>
        </w:numPr>
        <w:pStyle w:val="Compact"/>
      </w:pPr>
      <w:r>
        <w:rPr>
          <w:bCs/>
          <w:b/>
        </w:rPr>
        <w:t xml:space="preserve">Informed Consent:</w:t>
      </w:r>
      <w:r>
        <w:t xml:space="preserve"> </w:t>
      </w:r>
      <w:r>
        <w:t xml:space="preserve">All participants will provide written informed consent after receiving detailed information about the study's purpose, procedures, risks, and benefits.</w:t>
      </w:r>
    </w:p>
    <w:p>
      <w:pPr>
        <w:numPr>
          <w:ilvl w:val="0"/>
          <w:numId w:val="1006"/>
        </w:numPr>
        <w:pStyle w:val="Compact"/>
      </w:pPr>
      <w:r>
        <w:rPr>
          <w:bCs/>
          <w:b/>
        </w:rPr>
        <w:t xml:space="preserve">Confidentiality:</w:t>
      </w:r>
      <w:r>
        <w:t xml:space="preserve"> </w:t>
      </w:r>
      <w:r>
        <w:t xml:space="preserve">Personal data will be anonymized and stored securely in compliance with New Zealand's Privacy Act.</w:t>
      </w:r>
    </w:p>
    <w:p>
      <w:pPr>
        <w:numPr>
          <w:ilvl w:val="0"/>
          <w:numId w:val="1006"/>
        </w:numPr>
        <w:pStyle w:val="Compact"/>
      </w:pPr>
      <w:r>
        <w:rPr>
          <w:bCs/>
          <w:b/>
        </w:rPr>
        <w:t xml:space="preserve">Voluntary Participation:</w:t>
      </w:r>
      <w:r>
        <w:t xml:space="preserve"> </w:t>
      </w:r>
      <w:r>
        <w:t xml:space="preserve">Participants may withdraw from the study at any time without penalty.</w:t>
      </w:r>
    </w:p>
    <w:p>
      <w:pPr>
        <w:numPr>
          <w:ilvl w:val="0"/>
          <w:numId w:val="1006"/>
        </w:numPr>
        <w:pStyle w:val="Compact"/>
      </w:pPr>
      <w:r>
        <w:rPr>
          <w:bCs/>
          <w:b/>
        </w:rPr>
        <w:t xml:space="preserve">Cultural Sensitivity:</w:t>
      </w:r>
      <w:r>
        <w:t xml:space="preserve"> </w:t>
      </w:r>
      <w:r>
        <w:t xml:space="preserve">The study respects and incorporates the cultural diversity of Auckland, including Māori and Pacific Islander perspectives.</w:t>
      </w:r>
    </w:p>
    <w:bookmarkEnd w:id="26"/>
    <w:bookmarkStart w:id="27" w:name="data-analysis"/>
    <w:p>
      <w:pPr>
        <w:pStyle w:val="Heading2"/>
      </w:pPr>
      <w:r>
        <w:t xml:space="preserve">7. Data Analysis</w:t>
      </w:r>
    </w:p>
    <w:p>
      <w:pPr>
        <w:pStyle w:val="FirstParagraph"/>
      </w:pPr>
      <w:r>
        <w:t xml:space="preserve">Quantitative data will be analyzed using statistical software to compare performance metrics between musicians and non-musicians, as well as across different cultural and musical backgrounds. Qualitative data will be thematically analyzed to identify patterns and insights related to musical experience and cultural context in Auckland.</w:t>
      </w:r>
    </w:p>
    <w:bookmarkEnd w:id="27"/>
    <w:bookmarkStart w:id="28" w:name="expected-outcomes-and-significance"/>
    <w:p>
      <w:pPr>
        <w:pStyle w:val="Heading2"/>
      </w:pPr>
      <w:r>
        <w:t xml:space="preserve">8. Expected Outcomes and Significance</w:t>
      </w:r>
    </w:p>
    <w:p>
      <w:pPr>
        <w:pStyle w:val="FirstParagraph"/>
      </w:pPr>
      <w:r>
        <w:t xml:space="preserve">This Experiment Protocol aims to provide valuable insights into the cognitive and physiological benefits of musical training, with specific relevance to the diverse population of Auckland, New Zealand. The findings will contribute to the development of music-based interventions for cognitive enhancement and stress management, benefiting both musicians and the broader community.</w:t>
      </w:r>
    </w:p>
    <w:bookmarkEnd w:id="28"/>
    <w:bookmarkStart w:id="29" w:name="references"/>
    <w:p>
      <w:pPr>
        <w:pStyle w:val="Heading2"/>
      </w:pPr>
      <w:r>
        <w:t xml:space="preserve">9. References</w:t>
      </w:r>
    </w:p>
    <w:p>
      <w:pPr>
        <w:pStyle w:val="FirstParagraph"/>
      </w:pPr>
      <w:r>
        <w:t xml:space="preserve">References will be provided in accordance with APA 7th edition guidelines upon completion of the study.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Study in New Zealand Auckland</dc:title>
  <dc:creator/>
  <dc:language>en</dc:language>
  <cp:keywords/>
  <dcterms:created xsi:type="dcterms:W3CDTF">2026-10-10T07:03:51Z</dcterms:created>
  <dcterms:modified xsi:type="dcterms:W3CDTF">2026-10-10T07:03:51Z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