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5f3c345272d9f8efbfab89e8796d2212e83cb26"/>
    <w:p>
      <w:pPr>
        <w:pStyle w:val="Heading1"/>
      </w:pPr>
      <w:r>
        <w:t xml:space="preserve">Experiment Protocol: Musician Study in New Zealand Wellington</w:t>
      </w:r>
    </w:p>
    <w:bookmarkStart w:id="20" w:name="introduction"/>
    <w:p>
      <w:pPr>
        <w:pStyle w:val="Heading2"/>
      </w:pPr>
      <w:r>
        <w:t xml:space="preserve">1. Introduction</w:t>
      </w:r>
    </w:p>
    <w:p>
      <w:pPr>
        <w:pStyle w:val="FirstParagraph"/>
      </w:pPr>
      <w:r>
        <w:t xml:space="preserve">This Experiment Protocol outlines the procedures for a research study focused on musicians residing in New Zealand Wellington. The study aims to investigate the relationship between musical practice, environmental factors, and cognitive performance among professional and semi-professional musicians. Wellington, known for its vibrant cultural scene and unique urban landscape, provides an ideal setting for this research.</w:t>
      </w:r>
    </w:p>
    <w:p>
      <w:pPr>
        <w:pStyle w:val="BodyText"/>
      </w:pPr>
      <w:r>
        <w:t xml:space="preserve">The primary objective is to understand how the specific acoustic and social environment of New Zealand Wellington influences the creative output and mental well-being of musicians. This protocol ensures ethical standards, methodological rigor, and cultural sensitivity throughout the study.</w:t>
      </w:r>
    </w:p>
    <w:bookmarkEnd w:id="20"/>
    <w:bookmarkStart w:id="21" w:name="objectives"/>
    <w:p>
      <w:pPr>
        <w:pStyle w:val="Heading2"/>
      </w:pPr>
      <w:r>
        <w:t xml:space="preserve">2. Objectives</w:t>
      </w:r>
    </w:p>
    <w:p>
      <w:pPr>
        <w:numPr>
          <w:ilvl w:val="0"/>
          <w:numId w:val="1001"/>
        </w:numPr>
        <w:pStyle w:val="Compact"/>
      </w:pPr>
      <w:r>
        <w:t xml:space="preserve">To assess the impact of Wellington’s urban environment on musicians’ practice routines.</w:t>
      </w:r>
    </w:p>
    <w:p>
      <w:pPr>
        <w:numPr>
          <w:ilvl w:val="0"/>
          <w:numId w:val="1001"/>
        </w:numPr>
        <w:pStyle w:val="Compact"/>
      </w:pPr>
      <w:r>
        <w:t xml:space="preserve">To evaluate the correlation between musical engagement and cognitive flexibility.</w:t>
      </w:r>
    </w:p>
    <w:p>
      <w:pPr>
        <w:numPr>
          <w:ilvl w:val="0"/>
          <w:numId w:val="1001"/>
        </w:numPr>
        <w:pStyle w:val="Compact"/>
      </w:pPr>
      <w:r>
        <w:t xml:space="preserve">To explore how local cultural dynamics in New Zealand Wellington affect artistic identity.</w:t>
      </w:r>
    </w:p>
    <w:p>
      <w:pPr>
        <w:numPr>
          <w:ilvl w:val="0"/>
          <w:numId w:val="1001"/>
        </w:numPr>
        <w:pStyle w:val="Compact"/>
      </w:pPr>
      <w:r>
        <w:t xml:space="preserve">To gather qualitative data on the challenges and opportunities faced by musicians in this region.</w:t>
      </w:r>
    </w:p>
    <w:bookmarkEnd w:id="21"/>
    <w:bookmarkStart w:id="24" w:name="participants"/>
    <w:p>
      <w:pPr>
        <w:pStyle w:val="Heading2"/>
      </w:pPr>
      <w:r>
        <w:t xml:space="preserve">3. Participants</w:t>
      </w:r>
    </w:p>
    <w:bookmarkStart w:id="22" w:name="inclusion-criteria"/>
    <w:p>
      <w:pPr>
        <w:pStyle w:val="Heading3"/>
      </w:pPr>
      <w:r>
        <w:t xml:space="preserve">3.1 Inclusion Criteria</w:t>
      </w:r>
    </w:p>
    <w:p>
      <w:pPr>
        <w:numPr>
          <w:ilvl w:val="0"/>
          <w:numId w:val="1002"/>
        </w:numPr>
        <w:pStyle w:val="Compact"/>
      </w:pPr>
      <w:r>
        <w:t xml:space="preserve">Individuals aged 18–65 years.</w:t>
      </w:r>
    </w:p>
    <w:p>
      <w:pPr>
        <w:numPr>
          <w:ilvl w:val="0"/>
          <w:numId w:val="1002"/>
        </w:numPr>
        <w:pStyle w:val="Compact"/>
      </w:pPr>
      <w:r>
        <w:t xml:space="preserve">Residing in New Zealand Wellington for at least 12 months.</w:t>
      </w:r>
    </w:p>
    <w:p>
      <w:pPr>
        <w:numPr>
          <w:ilvl w:val="0"/>
          <w:numId w:val="1002"/>
        </w:numPr>
        <w:pStyle w:val="Compact"/>
      </w:pPr>
      <w:r>
        <w:t xml:space="preserve">Identifying as a musician (professional, semi-professional, or serious amateur).</w:t>
      </w:r>
    </w:p>
    <w:p>
      <w:pPr>
        <w:numPr>
          <w:ilvl w:val="0"/>
          <w:numId w:val="1002"/>
        </w:numPr>
        <w:pStyle w:val="Compact"/>
      </w:pPr>
      <w:r>
        <w:t xml:space="preserve">Willing to provide informed consent.</w:t>
      </w:r>
    </w:p>
    <w:bookmarkEnd w:id="22"/>
    <w:bookmarkStart w:id="23" w:name="exclusion-criteria"/>
    <w:p>
      <w:pPr>
        <w:pStyle w:val="Heading3"/>
      </w:pPr>
      <w:r>
        <w:t xml:space="preserve">3.2 Exclusion Criteria</w:t>
      </w:r>
    </w:p>
    <w:p>
      <w:pPr>
        <w:numPr>
          <w:ilvl w:val="0"/>
          <w:numId w:val="1003"/>
        </w:numPr>
        <w:pStyle w:val="Compact"/>
      </w:pPr>
      <w:r>
        <w:t xml:space="preserve">Individuals with diagnosed neurological conditions that may affect cognitive testing.</w:t>
      </w:r>
    </w:p>
    <w:p>
      <w:pPr>
        <w:numPr>
          <w:ilvl w:val="0"/>
          <w:numId w:val="1003"/>
        </w:numPr>
        <w:pStyle w:val="Compact"/>
      </w:pPr>
      <w:r>
        <w:t xml:space="preserve">Participants unable to communicate in English or Te Reo Māori.</w:t>
      </w:r>
    </w:p>
    <w:p>
      <w:pPr>
        <w:pStyle w:val="FirstParagraph"/>
      </w:pPr>
      <w:r>
        <w:t xml:space="preserve">A target sample size of 60 musicians will be recruited through local music schools, community centers, and online platforms in New Zealand Wellington.</w:t>
      </w:r>
    </w:p>
    <w:bookmarkEnd w:id="23"/>
    <w:bookmarkEnd w:id="24"/>
    <w:bookmarkStart w:id="27" w:name="methodology"/>
    <w:p>
      <w:pPr>
        <w:pStyle w:val="Heading2"/>
      </w:pPr>
      <w:r>
        <w:t xml:space="preserve">4. Methodology</w:t>
      </w:r>
    </w:p>
    <w:bookmarkStart w:id="25" w:name="study-design"/>
    <w:p>
      <w:pPr>
        <w:pStyle w:val="Heading3"/>
      </w:pPr>
      <w:r>
        <w:t xml:space="preserve">4.1 Study Design</w:t>
      </w:r>
    </w:p>
    <w:p>
      <w:pPr>
        <w:pStyle w:val="FirstParagraph"/>
      </w:pPr>
      <w:r>
        <w:t xml:space="preserve">This study employs a mixed-methods approach, combining quantitative surveys and cognitive tests with qualitative interviews. The research will be conducted over a six-month period.</w:t>
      </w:r>
    </w:p>
    <w:bookmarkEnd w:id="25"/>
    <w:bookmarkStart w:id="26" w:name="procedures"/>
    <w:p>
      <w:pPr>
        <w:pStyle w:val="Heading3"/>
      </w:pPr>
      <w:r>
        <w:t xml:space="preserve">4.2 Procedures</w:t>
      </w:r>
    </w:p>
    <w:p>
      <w:pPr>
        <w:numPr>
          <w:ilvl w:val="0"/>
          <w:numId w:val="1004"/>
        </w:numPr>
        <w:pStyle w:val="Compact"/>
      </w:pPr>
      <w:r>
        <w:rPr>
          <w:bCs/>
          <w:b/>
        </w:rPr>
        <w:t xml:space="preserve">Recruitment:</w:t>
      </w:r>
      <w:r>
        <w:t xml:space="preserve"> </w:t>
      </w:r>
      <w:r>
        <w:t xml:space="preserve">Participants will be recruited via flyers, social media, and partnerships with Wellington-based music organizations.</w:t>
      </w:r>
    </w:p>
    <w:p>
      <w:pPr>
        <w:numPr>
          <w:ilvl w:val="0"/>
          <w:numId w:val="1004"/>
        </w:numPr>
        <w:pStyle w:val="Compact"/>
      </w:pPr>
      <w:r>
        <w:rPr>
          <w:bCs/>
          <w:b/>
        </w:rPr>
        <w:t xml:space="preserve">Informed Consent:</w:t>
      </w:r>
      <w:r>
        <w:t xml:space="preserve"> </w:t>
      </w:r>
      <w:r>
        <w:t xml:space="preserve">All participants will receive detailed information about the study and sign a consent form.</w:t>
      </w:r>
    </w:p>
    <w:p>
      <w:pPr>
        <w:numPr>
          <w:ilvl w:val="0"/>
          <w:numId w:val="1004"/>
        </w:numPr>
        <w:pStyle w:val="Compact"/>
      </w:pPr>
      <w:r>
        <w:rPr>
          <w:bCs/>
          <w:b/>
        </w:rPr>
        <w:t xml:space="preserve">Baseline Assessment:</w:t>
      </w:r>
      <w:r>
        <w:t xml:space="preserve"> </w:t>
      </w:r>
      <w:r>
        <w:t xml:space="preserve">Participants will complete a demographic questionnaire and a cognitive flexibility test.</w:t>
      </w:r>
    </w:p>
    <w:p>
      <w:pPr>
        <w:numPr>
          <w:ilvl w:val="0"/>
          <w:numId w:val="1004"/>
        </w:numPr>
        <w:pStyle w:val="Compact"/>
      </w:pPr>
      <w:r>
        <w:rPr>
          <w:bCs/>
          <w:b/>
        </w:rPr>
        <w:t xml:space="preserve">Practice Diary:</w:t>
      </w:r>
      <w:r>
        <w:t xml:space="preserve"> </w:t>
      </w:r>
      <w:r>
        <w:t xml:space="preserve">Musicians will maintain a daily log of their practice routines, locations, and perceived environmental influences for four weeks.</w:t>
      </w:r>
    </w:p>
    <w:p>
      <w:pPr>
        <w:numPr>
          <w:ilvl w:val="0"/>
          <w:numId w:val="1004"/>
        </w:numPr>
        <w:pStyle w:val="Compact"/>
      </w:pPr>
      <w:r>
        <w:rPr>
          <w:bCs/>
          <w:b/>
        </w:rPr>
        <w:t xml:space="preserve">Interviews:</w:t>
      </w:r>
      <w:r>
        <w:t xml:space="preserve"> </w:t>
      </w:r>
      <w:r>
        <w:t xml:space="preserve">Semi-structured interviews will be conducted with a subset of 20 participants to explore personal experiences in depth.</w:t>
      </w:r>
    </w:p>
    <w:p>
      <w:pPr>
        <w:numPr>
          <w:ilvl w:val="0"/>
          <w:numId w:val="1004"/>
        </w:numPr>
        <w:pStyle w:val="Compact"/>
      </w:pPr>
      <w:r>
        <w:rPr>
          <w:bCs/>
          <w:b/>
        </w:rPr>
        <w:t xml:space="preserve">Follow-up Assessment:</w:t>
      </w:r>
      <w:r>
        <w:t xml:space="preserve"> </w:t>
      </w:r>
      <w:r>
        <w:t xml:space="preserve">A second cognitive test will be administered after the diary period to assess any changes.</w:t>
      </w:r>
    </w:p>
    <w:bookmarkEnd w:id="26"/>
    <w:bookmarkEnd w:id="27"/>
    <w:bookmarkStart w:id="28" w:name="data-collection"/>
    <w:p>
      <w:pPr>
        <w:pStyle w:val="Heading2"/>
      </w:pPr>
      <w:r>
        <w:t xml:space="preserve">5. Data Collection</w:t>
      </w:r>
    </w:p>
    <w:p>
      <w:pPr>
        <w:pStyle w:val="FirstParagraph"/>
      </w:pPr>
      <w:r>
        <w:t xml:space="preserve">Data will be collected using the following instruments:</w:t>
      </w:r>
    </w:p>
    <w:p>
      <w:pPr>
        <w:numPr>
          <w:ilvl w:val="0"/>
          <w:numId w:val="1005"/>
        </w:numPr>
        <w:pStyle w:val="Compact"/>
      </w:pPr>
      <w:r>
        <w:rPr>
          <w:bCs/>
          <w:b/>
        </w:rPr>
        <w:t xml:space="preserve">Demographic Questionnaire:</w:t>
      </w:r>
      <w:r>
        <w:t xml:space="preserve"> </w:t>
      </w:r>
      <w:r>
        <w:t xml:space="preserve">Age, gender, musical background, years of experience, and genre.</w:t>
      </w:r>
    </w:p>
    <w:p>
      <w:pPr>
        <w:numPr>
          <w:ilvl w:val="0"/>
          <w:numId w:val="1005"/>
        </w:numPr>
        <w:pStyle w:val="Compact"/>
      </w:pPr>
      <w:r>
        <w:rPr>
          <w:bCs/>
          <w:b/>
        </w:rPr>
        <w:t xml:space="preserve">Cognitive Flexibility Test:</w:t>
      </w:r>
      <w:r>
        <w:t xml:space="preserve"> </w:t>
      </w:r>
      <w:r>
        <w:t xml:space="preserve">A standardized task measuring adaptability and problem-solving skills.</w:t>
      </w:r>
    </w:p>
    <w:p>
      <w:pPr>
        <w:numPr>
          <w:ilvl w:val="0"/>
          <w:numId w:val="1005"/>
        </w:numPr>
        <w:pStyle w:val="Compact"/>
      </w:pPr>
      <w:r>
        <w:rPr>
          <w:bCs/>
          <w:b/>
        </w:rPr>
        <w:t xml:space="preserve">Practice Diary:</w:t>
      </w:r>
      <w:r>
        <w:t xml:space="preserve"> </w:t>
      </w:r>
      <w:r>
        <w:t xml:space="preserve">Daily entries documenting practice duration, location, and environmental factors.</w:t>
      </w:r>
    </w:p>
    <w:p>
      <w:pPr>
        <w:numPr>
          <w:ilvl w:val="0"/>
          <w:numId w:val="1005"/>
        </w:numPr>
        <w:pStyle w:val="Compact"/>
      </w:pPr>
      <w:r>
        <w:rPr>
          <w:bCs/>
          <w:b/>
        </w:rPr>
        <w:t xml:space="preserve">Interview Guide:</w:t>
      </w:r>
      <w:r>
        <w:t xml:space="preserve"> </w:t>
      </w:r>
      <w:r>
        <w:t xml:space="preserve">Questions focusing on creative process, environmental impact, and cultural identity.</w:t>
      </w:r>
    </w:p>
    <w:bookmarkEnd w:id="28"/>
    <w:bookmarkStart w:id="29" w:name="ethical-considerations"/>
    <w:p>
      <w:pPr>
        <w:pStyle w:val="Heading2"/>
      </w:pPr>
      <w:r>
        <w:t xml:space="preserve">6. Ethical Considerations</w:t>
      </w:r>
    </w:p>
    <w:p>
      <w:pPr>
        <w:pStyle w:val="FirstParagraph"/>
      </w:pPr>
      <w:r>
        <w:t xml:space="preserve">This study adheres to the ethical guidelines set by the New Zealand Health and Disability Ethics Committee. Key considerations include:</w:t>
      </w:r>
    </w:p>
    <w:p>
      <w:pPr>
        <w:numPr>
          <w:ilvl w:val="0"/>
          <w:numId w:val="1006"/>
        </w:numPr>
        <w:pStyle w:val="Compact"/>
      </w:pPr>
      <w:r>
        <w:rPr>
          <w:bCs/>
          <w:b/>
        </w:rPr>
        <w:t xml:space="preserve">Informed Consent:</w:t>
      </w:r>
      <w:r>
        <w:t xml:space="preserve"> </w:t>
      </w:r>
      <w:r>
        <w:t xml:space="preserve">Participants will be fully informed about the study’s purpose, procedures, and their rights.</w:t>
      </w:r>
    </w:p>
    <w:p>
      <w:pPr>
        <w:numPr>
          <w:ilvl w:val="0"/>
          <w:numId w:val="1006"/>
        </w:numPr>
        <w:pStyle w:val="Compact"/>
      </w:pPr>
      <w:r>
        <w:rPr>
          <w:bCs/>
          <w:b/>
        </w:rPr>
        <w:t xml:space="preserve">Confidentiality:</w:t>
      </w:r>
      <w:r>
        <w:t xml:space="preserve"> </w:t>
      </w:r>
      <w:r>
        <w:t xml:space="preserve">All data will be anonymized and stored securely.</w:t>
      </w:r>
    </w:p>
    <w:p>
      <w:pPr>
        <w:numPr>
          <w:ilvl w:val="0"/>
          <w:numId w:val="1006"/>
        </w:numPr>
        <w:pStyle w:val="Compact"/>
      </w:pPr>
      <w:r>
        <w:rPr>
          <w:bCs/>
          <w:b/>
        </w:rPr>
        <w:t xml:space="preserve">Cultural Sensitivity:</w:t>
      </w:r>
      <w:r>
        <w:t xml:space="preserve"> </w:t>
      </w:r>
      <w:r>
        <w:t xml:space="preserve">The study respects Māori cultural values and incorporates Te Reo Māori where appropriate.</w:t>
      </w:r>
    </w:p>
    <w:p>
      <w:pPr>
        <w:numPr>
          <w:ilvl w:val="0"/>
          <w:numId w:val="1006"/>
        </w:numPr>
        <w:pStyle w:val="Compact"/>
      </w:pPr>
      <w:r>
        <w:rPr>
          <w:bCs/>
          <w:b/>
        </w:rPr>
        <w:t xml:space="preserve">Voluntary Participation:</w:t>
      </w:r>
      <w:r>
        <w:t xml:space="preserve"> </w:t>
      </w:r>
      <w:r>
        <w:t xml:space="preserve">Participants may withdraw at any time without penalty.</w:t>
      </w:r>
    </w:p>
    <w:bookmarkEnd w:id="29"/>
    <w:bookmarkStart w:id="30" w:name="data-analysis"/>
    <w:p>
      <w:pPr>
        <w:pStyle w:val="Heading2"/>
      </w:pPr>
      <w:r>
        <w:t xml:space="preserve">7. Data Analysis</w:t>
      </w:r>
    </w:p>
    <w:p>
      <w:pPr>
        <w:pStyle w:val="FirstParagraph"/>
      </w:pPr>
      <w:r>
        <w:t xml:space="preserve">Quantitative data will be analyzed using statistical software to identify correlations between environmental factors, practice routines, and cognitive performance. Qualitative data from interviews will be thematically analyzed to uncover patterns and insights related to the musicians’ experiences in New Zealand Wellington.</w:t>
      </w:r>
    </w:p>
    <w:bookmarkEnd w:id="30"/>
    <w:bookmarkStart w:id="31"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consent forms, tool preparation</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Surveys, diaries, interviews, cognitive tests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Statistical and thematic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Writing and disseminating findings</w:t>
            </w:r>
          </w:p>
        </w:tc>
      </w:tr>
    </w:tbl>
    <w:bookmarkEnd w:id="31"/>
    <w:bookmarkStart w:id="32" w:name="conclusion"/>
    <w:p>
      <w:pPr>
        <w:pStyle w:val="Heading2"/>
      </w:pPr>
      <w:r>
        <w:t xml:space="preserve">9. Conclusion</w:t>
      </w:r>
    </w:p>
    <w:p>
      <w:pPr>
        <w:pStyle w:val="FirstParagraph"/>
      </w:pPr>
      <w:r>
        <w:t xml:space="preserve">This Experiment Protocol provides a structured framework for studying musicians in New Zealand Wellington. By focusing on the interplay between environment, practice, and cognition, the study aims to contribute valuable insights to the fields of music psychology and urban cultural studies. The findings will be shared with local communities, academic institutions, and policymakers to support the well-being and development of musicians in Wellington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New Zealand Wellington</dc:title>
  <dc:creator/>
  <dc:language>en</dc:language>
  <cp:keywords/>
  <dcterms:created xsi:type="dcterms:W3CDTF">2026-10-10T09:47:28Z</dcterms:created>
  <dcterms:modified xsi:type="dcterms:W3CDTF">2026-10-10T09:47:28Z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