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e35934b435d511b5beed2aac41e4a23ba664f8"/>
    <w:p>
      <w:pPr>
        <w:pStyle w:val="Heading1"/>
      </w:pPr>
      <w:r>
        <w:t xml:space="preserve">Experiment Protocol: Musician Performance in United Arab Emirates Dubai</w:t>
      </w:r>
    </w:p>
    <w:p>
      <w:pPr>
        <w:pStyle w:val="FirstParagraph"/>
      </w:pPr>
      <w:r>
        <w:rPr>
          <w:bCs/>
          <w:b/>
        </w:rPr>
        <w:t xml:space="preserve">Document ID:</w:t>
      </w:r>
      <w:r>
        <w:t xml:space="preserve"> </w:t>
      </w:r>
      <w:r>
        <w:t xml:space="preserve">UAE-DXB-MUS-EXP-2024-001</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Musician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requirements, and guidelines for conducting a controlled performance experiment involving a Musician in the United Arab Emirates Dubai. The purpose of this experiment is to evaluate the impact of cultural context, audience demographics, and performance environment on the Musician’s artistic expression and audience reception within the unique socio-cultural landscape of Dubai.</w:t>
      </w:r>
    </w:p>
    <w:p>
      <w:pPr>
        <w:pStyle w:val="BodyText"/>
      </w:pPr>
      <w:r>
        <w:t xml:space="preserve">Dubai, as a global hub for arts and culture, offers a diverse and dynamic environment for musical experimentation. This protocol ensures that all activities are conducted in compliance with local regulations, ethical standards, and cultural sensitivities.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Musician’s adaptability to different performance venues in Dubai.</w:t>
      </w:r>
    </w:p>
    <w:p>
      <w:pPr>
        <w:numPr>
          <w:ilvl w:val="0"/>
          <w:numId w:val="1001"/>
        </w:numPr>
        <w:pStyle w:val="Compact"/>
      </w:pPr>
      <w:r>
        <w:t xml:space="preserve">To analyze audience engagement and emotional response across diverse cultural groups.</w:t>
      </w:r>
    </w:p>
    <w:p>
      <w:pPr>
        <w:numPr>
          <w:ilvl w:val="0"/>
          <w:numId w:val="1001"/>
        </w:numPr>
        <w:pStyle w:val="Compact"/>
      </w:pPr>
      <w:r>
        <w:t xml:space="preserve">To evaluate the effectiveness of integrating traditional Emirati musical elements with contemporary styles.</w:t>
      </w:r>
    </w:p>
    <w:p>
      <w:pPr>
        <w:numPr>
          <w:ilvl w:val="0"/>
          <w:numId w:val="1001"/>
        </w:numPr>
        <w:pStyle w:val="Compact"/>
      </w:pPr>
      <w:r>
        <w:t xml:space="preserve">To document best practices for future musical performances in the United Arab Emirates Dubai.</w:t>
      </w:r>
    </w:p>
    <w:bookmarkEnd w:id="22"/>
    <w:bookmarkStart w:id="23" w:name="scope"/>
    <w:p>
      <w:pPr>
        <w:pStyle w:val="Heading2"/>
      </w:pPr>
      <w:r>
        <w:t xml:space="preserve">3. Scope</w:t>
      </w:r>
    </w:p>
    <w:p>
      <w:pPr>
        <w:pStyle w:val="FirstParagraph"/>
      </w:pPr>
      <w:r>
        <w:t xml:space="preserve">This protocol applies to all phases of the experiment, including:</w:t>
      </w:r>
    </w:p>
    <w:p>
      <w:pPr>
        <w:numPr>
          <w:ilvl w:val="0"/>
          <w:numId w:val="1002"/>
        </w:numPr>
        <w:pStyle w:val="Compact"/>
      </w:pPr>
      <w:r>
        <w:t xml:space="preserve">Preparation and rehearsal of the Musician.</w:t>
      </w:r>
    </w:p>
    <w:p>
      <w:pPr>
        <w:numPr>
          <w:ilvl w:val="0"/>
          <w:numId w:val="1002"/>
        </w:numPr>
        <w:pStyle w:val="Compact"/>
      </w:pPr>
      <w:r>
        <w:t xml:space="preserve">Selection and setup of performance venues in Dubai.</w:t>
      </w:r>
    </w:p>
    <w:p>
      <w:pPr>
        <w:numPr>
          <w:ilvl w:val="0"/>
          <w:numId w:val="1002"/>
        </w:numPr>
        <w:pStyle w:val="Compact"/>
      </w:pPr>
      <w:r>
        <w:t xml:space="preserve">Audience recruitment and data collection.</w:t>
      </w:r>
    </w:p>
    <w:p>
      <w:pPr>
        <w:numPr>
          <w:ilvl w:val="0"/>
          <w:numId w:val="1002"/>
        </w:numPr>
        <w:pStyle w:val="Compact"/>
      </w:pPr>
      <w:r>
        <w:t xml:space="preserve">Post-performance analysis and reporting.</w:t>
      </w:r>
    </w:p>
    <w:p>
      <w:pPr>
        <w:pStyle w:val="FirstParagraph"/>
      </w:pPr>
      <w:r>
        <w:t xml:space="preserve">All activities must adhere to the laws and cultural norms of the United Arab Emirates Dubai.</w:t>
      </w:r>
    </w:p>
    <w:bookmarkEnd w:id="23"/>
    <w:bookmarkStart w:id="27" w:name="roles-and-responsibilities"/>
    <w:p>
      <w:pPr>
        <w:pStyle w:val="Heading2"/>
      </w:pPr>
      <w:r>
        <w:t xml:space="preserve">4. Roles and Responsibilities</w:t>
      </w:r>
    </w:p>
    <w:bookmarkStart w:id="24" w:name="musician"/>
    <w:p>
      <w:pPr>
        <w:pStyle w:val="Heading3"/>
      </w:pPr>
      <w:r>
        <w:t xml:space="preserve">4.1 Musician</w:t>
      </w:r>
    </w:p>
    <w:p>
      <w:pPr>
        <w:numPr>
          <w:ilvl w:val="0"/>
          <w:numId w:val="1003"/>
        </w:numPr>
        <w:pStyle w:val="Compact"/>
      </w:pPr>
      <w:r>
        <w:t xml:space="preserve">Prepare and perform the designated repertoire.</w:t>
      </w:r>
    </w:p>
    <w:p>
      <w:pPr>
        <w:numPr>
          <w:ilvl w:val="0"/>
          <w:numId w:val="1003"/>
        </w:numPr>
        <w:pStyle w:val="Compact"/>
      </w:pPr>
      <w:r>
        <w:t xml:space="preserve">Collaborate with the research team to integrate cultural elements as required.</w:t>
      </w:r>
    </w:p>
    <w:p>
      <w:pPr>
        <w:numPr>
          <w:ilvl w:val="0"/>
          <w:numId w:val="1003"/>
        </w:numPr>
        <w:pStyle w:val="Compact"/>
      </w:pPr>
      <w:r>
        <w:t xml:space="preserve">Provide feedback on performance conditions and audience interaction.</w:t>
      </w:r>
    </w:p>
    <w:bookmarkEnd w:id="24"/>
    <w:bookmarkStart w:id="25" w:name="research-team"/>
    <w:p>
      <w:pPr>
        <w:pStyle w:val="Heading3"/>
      </w:pPr>
      <w:r>
        <w:t xml:space="preserve">4.2 Research Team</w:t>
      </w:r>
    </w:p>
    <w:p>
      <w:pPr>
        <w:numPr>
          <w:ilvl w:val="0"/>
          <w:numId w:val="1004"/>
        </w:numPr>
        <w:pStyle w:val="Compact"/>
      </w:pPr>
      <w:r>
        <w:t xml:space="preserve">Design and oversee the experiment.</w:t>
      </w:r>
    </w:p>
    <w:p>
      <w:pPr>
        <w:numPr>
          <w:ilvl w:val="0"/>
          <w:numId w:val="1004"/>
        </w:numPr>
        <w:pStyle w:val="Compact"/>
      </w:pPr>
      <w:r>
        <w:t xml:space="preserve">Ensure compliance with local regulations and ethical guidelines.</w:t>
      </w:r>
    </w:p>
    <w:p>
      <w:pPr>
        <w:numPr>
          <w:ilvl w:val="0"/>
          <w:numId w:val="1004"/>
        </w:numPr>
        <w:pStyle w:val="Compact"/>
      </w:pPr>
      <w:r>
        <w:t xml:space="preserve">Collect and analyze data from performances and audience surveys.</w:t>
      </w:r>
    </w:p>
    <w:bookmarkEnd w:id="25"/>
    <w:bookmarkStart w:id="26" w:name="venue-management"/>
    <w:p>
      <w:pPr>
        <w:pStyle w:val="Heading3"/>
      </w:pPr>
      <w:r>
        <w:t xml:space="preserve">4.3 Venue Management</w:t>
      </w:r>
    </w:p>
    <w:p>
      <w:pPr>
        <w:numPr>
          <w:ilvl w:val="0"/>
          <w:numId w:val="1005"/>
        </w:numPr>
        <w:pStyle w:val="Compact"/>
      </w:pPr>
      <w:r>
        <w:t xml:space="preserve">Provide suitable performance spaces in Dubai.</w:t>
      </w:r>
    </w:p>
    <w:p>
      <w:pPr>
        <w:numPr>
          <w:ilvl w:val="0"/>
          <w:numId w:val="1005"/>
        </w:numPr>
        <w:pStyle w:val="Compact"/>
      </w:pPr>
      <w:r>
        <w:t xml:space="preserve">Ensure technical requirements are met.</w:t>
      </w:r>
    </w:p>
    <w:p>
      <w:pPr>
        <w:numPr>
          <w:ilvl w:val="0"/>
          <w:numId w:val="1005"/>
        </w:numPr>
        <w:pStyle w:val="Compact"/>
      </w:pPr>
      <w:r>
        <w:t xml:space="preserve">Facilitate audience access and safety.</w:t>
      </w:r>
    </w:p>
    <w:bookmarkEnd w:id="26"/>
    <w:bookmarkEnd w:id="27"/>
    <w:bookmarkStart w:id="31" w:name="methodology"/>
    <w:p>
      <w:pPr>
        <w:pStyle w:val="Heading2"/>
      </w:pPr>
      <w:r>
        <w:t xml:space="preserve">5. Methodology</w:t>
      </w:r>
    </w:p>
    <w:bookmarkStart w:id="28" w:name="venue-selection"/>
    <w:p>
      <w:pPr>
        <w:pStyle w:val="Heading3"/>
      </w:pPr>
      <w:r>
        <w:t xml:space="preserve">5.1 Venue Selection</w:t>
      </w:r>
    </w:p>
    <w:p>
      <w:pPr>
        <w:pStyle w:val="FirstParagraph"/>
      </w:pPr>
      <w:r>
        <w:t xml:space="preserve">Performances will take place in three distinct venues in Dubai:</w:t>
      </w:r>
    </w:p>
    <w:p>
      <w:pPr>
        <w:numPr>
          <w:ilvl w:val="0"/>
          <w:numId w:val="1006"/>
        </w:numPr>
        <w:pStyle w:val="Compact"/>
      </w:pPr>
      <w:r>
        <w:t xml:space="preserve">A traditional cultural center (e.g., Al Fahidi Historical Neighborhood).</w:t>
      </w:r>
    </w:p>
    <w:p>
      <w:pPr>
        <w:numPr>
          <w:ilvl w:val="0"/>
          <w:numId w:val="1006"/>
        </w:numPr>
        <w:pStyle w:val="Compact"/>
      </w:pPr>
      <w:r>
        <w:t xml:space="preserve">A modern concert hall (e.g., Dubai Opera).</w:t>
      </w:r>
    </w:p>
    <w:p>
      <w:pPr>
        <w:numPr>
          <w:ilvl w:val="0"/>
          <w:numId w:val="1006"/>
        </w:numPr>
        <w:pStyle w:val="Compact"/>
      </w:pPr>
      <w:r>
        <w:t xml:space="preserve">An outdoor public space (e.g., Dubai Mall or Jumeirah Beach).</w:t>
      </w:r>
    </w:p>
    <w:bookmarkEnd w:id="28"/>
    <w:bookmarkStart w:id="29" w:name="repertoire"/>
    <w:p>
      <w:pPr>
        <w:pStyle w:val="Heading3"/>
      </w:pPr>
      <w:r>
        <w:t xml:space="preserve">5.2 Repertoire</w:t>
      </w:r>
    </w:p>
    <w:p>
      <w:pPr>
        <w:pStyle w:val="FirstParagraph"/>
      </w:pPr>
      <w:r>
        <w:t xml:space="preserve">The Musician will perform a setlist that includes:</w:t>
      </w:r>
    </w:p>
    <w:p>
      <w:pPr>
        <w:numPr>
          <w:ilvl w:val="0"/>
          <w:numId w:val="1007"/>
        </w:numPr>
        <w:pStyle w:val="Compact"/>
      </w:pPr>
      <w:r>
        <w:t xml:space="preserve">Contemporary international pieces.</w:t>
      </w:r>
    </w:p>
    <w:p>
      <w:pPr>
        <w:numPr>
          <w:ilvl w:val="0"/>
          <w:numId w:val="1007"/>
        </w:numPr>
        <w:pStyle w:val="Compact"/>
      </w:pPr>
      <w:r>
        <w:t xml:space="preserve">Traditional Emirati or Arabic compositions.</w:t>
      </w:r>
    </w:p>
    <w:p>
      <w:pPr>
        <w:numPr>
          <w:ilvl w:val="0"/>
          <w:numId w:val="1007"/>
        </w:numPr>
        <w:pStyle w:val="Compact"/>
      </w:pPr>
      <w:r>
        <w:t xml:space="preserve">Fusion pieces blending both styles.</w:t>
      </w:r>
    </w:p>
    <w:bookmarkEnd w:id="29"/>
    <w:bookmarkStart w:id="30" w:name="audience-recruitment"/>
    <w:p>
      <w:pPr>
        <w:pStyle w:val="Heading3"/>
      </w:pPr>
      <w:r>
        <w:t xml:space="preserve">5.3 Audience Recruitment</w:t>
      </w:r>
    </w:p>
    <w:p>
      <w:pPr>
        <w:pStyle w:val="FirstParagraph"/>
      </w:pPr>
      <w:r>
        <w:t xml:space="preserve">Audiences will be recruited to reflect Dubai’s diverse population, including:</w:t>
      </w:r>
    </w:p>
    <w:p>
      <w:pPr>
        <w:numPr>
          <w:ilvl w:val="0"/>
          <w:numId w:val="1008"/>
        </w:numPr>
        <w:pStyle w:val="Compact"/>
      </w:pPr>
      <w:r>
        <w:t xml:space="preserve">Emirati nationals.</w:t>
      </w:r>
    </w:p>
    <w:p>
      <w:pPr>
        <w:numPr>
          <w:ilvl w:val="0"/>
          <w:numId w:val="1008"/>
        </w:numPr>
        <w:pStyle w:val="Compact"/>
      </w:pPr>
      <w:r>
        <w:t xml:space="preserve">Expatriates from various regions.</w:t>
      </w:r>
    </w:p>
    <w:p>
      <w:pPr>
        <w:numPr>
          <w:ilvl w:val="0"/>
          <w:numId w:val="1008"/>
        </w:numPr>
        <w:pStyle w:val="Compact"/>
      </w:pPr>
      <w:r>
        <w:t xml:space="preserve">Tourists.</w:t>
      </w:r>
    </w:p>
    <w:p>
      <w:pPr>
        <w:pStyle w:val="FirstParagraph"/>
      </w:pPr>
      <w:r>
        <w:t xml:space="preserve">Participants will be informed of the experiment’s purpose and provide consent for data collection.</w:t>
      </w:r>
    </w:p>
    <w:bookmarkEnd w:id="30"/>
    <w:bookmarkEnd w:id="31"/>
    <w:bookmarkStart w:id="32" w:name="data-collection"/>
    <w:p>
      <w:pPr>
        <w:pStyle w:val="Heading2"/>
      </w:pPr>
      <w:r>
        <w:t xml:space="preserve">6. Data Collection</w:t>
      </w:r>
    </w:p>
    <w:p>
      <w:pPr>
        <w:pStyle w:val="FirstParagraph"/>
      </w:pPr>
      <w:r>
        <w:t xml:space="preserve">Data will be collected through:</w:t>
      </w:r>
    </w:p>
    <w:p>
      <w:pPr>
        <w:numPr>
          <w:ilvl w:val="0"/>
          <w:numId w:val="1009"/>
        </w:numPr>
        <w:pStyle w:val="Compact"/>
      </w:pPr>
      <w:r>
        <w:t xml:space="preserve">Audio and video recordings of performances.</w:t>
      </w:r>
    </w:p>
    <w:p>
      <w:pPr>
        <w:numPr>
          <w:ilvl w:val="0"/>
          <w:numId w:val="1009"/>
        </w:numPr>
        <w:pStyle w:val="Compact"/>
      </w:pPr>
      <w:r>
        <w:t xml:space="preserve">Audience surveys measuring emotional response, cultural relevance, and overall satisfaction.</w:t>
      </w:r>
    </w:p>
    <w:p>
      <w:pPr>
        <w:numPr>
          <w:ilvl w:val="0"/>
          <w:numId w:val="1009"/>
        </w:numPr>
        <w:pStyle w:val="Compact"/>
      </w:pPr>
      <w:r>
        <w:t xml:space="preserve">Interviews with the Musician and select audience members.</w:t>
      </w:r>
    </w:p>
    <w:p>
      <w:pPr>
        <w:numPr>
          <w:ilvl w:val="0"/>
          <w:numId w:val="1009"/>
        </w:numPr>
        <w:pStyle w:val="Compact"/>
      </w:pPr>
      <w:r>
        <w:t xml:space="preserve">Observational notes by the research team.</w:t>
      </w:r>
    </w:p>
    <w:p>
      <w:pPr>
        <w:pStyle w:val="FirstParagraph"/>
      </w:pPr>
      <w:r>
        <w:t xml:space="preserve">All data will be anonymized and stored securely in compliance with UAE data protection laws.</w:t>
      </w:r>
    </w:p>
    <w:bookmarkEnd w:id="32"/>
    <w:bookmarkStart w:id="33" w:name="ethical-considerations"/>
    <w:p>
      <w:pPr>
        <w:pStyle w:val="Heading2"/>
      </w:pPr>
      <w:r>
        <w:t xml:space="preserve">7. Ethical Considerations</w:t>
      </w:r>
    </w:p>
    <w:p>
      <w:pPr>
        <w:pStyle w:val="FirstParagraph"/>
      </w:pPr>
      <w:r>
        <w:t xml:space="preserve">This experiment adheres to the following ethical principles:</w:t>
      </w:r>
    </w:p>
    <w:p>
      <w:pPr>
        <w:numPr>
          <w:ilvl w:val="0"/>
          <w:numId w:val="1010"/>
        </w:numPr>
        <w:pStyle w:val="Compact"/>
      </w:pPr>
      <w:r>
        <w:t xml:space="preserve">Respect for cultural norms and religious values in the United Arab Emirates Dubai.</w:t>
      </w:r>
    </w:p>
    <w:p>
      <w:pPr>
        <w:numPr>
          <w:ilvl w:val="0"/>
          <w:numId w:val="1010"/>
        </w:numPr>
        <w:pStyle w:val="Compact"/>
      </w:pPr>
      <w:r>
        <w:t xml:space="preserve">Informed consent from all participants.</w:t>
      </w:r>
    </w:p>
    <w:p>
      <w:pPr>
        <w:numPr>
          <w:ilvl w:val="0"/>
          <w:numId w:val="1010"/>
        </w:numPr>
        <w:pStyle w:val="Compact"/>
      </w:pPr>
      <w:r>
        <w:t xml:space="preserve">Confidentiality and data privacy.</w:t>
      </w:r>
    </w:p>
    <w:p>
      <w:pPr>
        <w:numPr>
          <w:ilvl w:val="0"/>
          <w:numId w:val="1010"/>
        </w:numPr>
        <w:pStyle w:val="Compact"/>
      </w:pPr>
      <w:r>
        <w:t xml:space="preserve">Voluntary participation with the right to withdraw at any time.</w:t>
      </w:r>
    </w:p>
    <w:p>
      <w:pPr>
        <w:pStyle w:val="FirstParagraph"/>
      </w:pPr>
      <w:r>
        <w:t xml:space="preserve">Content of performances will be reviewed to ensure appropriateness and compliance with local standards.</w:t>
      </w:r>
    </w:p>
    <w:bookmarkEnd w:id="33"/>
    <w:bookmarkStart w:id="34" w:name="timeline"/>
    <w:p>
      <w:pPr>
        <w:pStyle w:val="Heading2"/>
      </w:pPr>
      <w:r>
        <w:t xml:space="preserve">8. Timeline</w:t>
      </w:r>
    </w:p>
    <w:p>
      <w:pPr>
        <w:numPr>
          <w:ilvl w:val="0"/>
          <w:numId w:val="1011"/>
        </w:numPr>
        <w:pStyle w:val="Compact"/>
      </w:pPr>
      <w:r>
        <w:rPr>
          <w:bCs/>
          <w:b/>
        </w:rPr>
        <w:t xml:space="preserve">Week 1-2:</w:t>
      </w:r>
      <w:r>
        <w:t xml:space="preserve"> </w:t>
      </w:r>
      <w:r>
        <w:t xml:space="preserve">Planning and venue coordination.</w:t>
      </w:r>
    </w:p>
    <w:p>
      <w:pPr>
        <w:numPr>
          <w:ilvl w:val="0"/>
          <w:numId w:val="1011"/>
        </w:numPr>
        <w:pStyle w:val="Compact"/>
      </w:pPr>
      <w:r>
        <w:rPr>
          <w:bCs/>
          <w:b/>
        </w:rPr>
        <w:t xml:space="preserve">Week 3-4:</w:t>
      </w:r>
      <w:r>
        <w:t xml:space="preserve"> </w:t>
      </w:r>
      <w:r>
        <w:t xml:space="preserve">Musician preparation and rehearsals.</w:t>
      </w:r>
    </w:p>
    <w:p>
      <w:pPr>
        <w:numPr>
          <w:ilvl w:val="0"/>
          <w:numId w:val="1011"/>
        </w:numPr>
        <w:pStyle w:val="Compact"/>
      </w:pPr>
      <w:r>
        <w:rPr>
          <w:bCs/>
          <w:b/>
        </w:rPr>
        <w:t xml:space="preserve">Week 5-6:</w:t>
      </w:r>
      <w:r>
        <w:t xml:space="preserve"> </w:t>
      </w:r>
      <w:r>
        <w:t xml:space="preserve">Performances and data collection.</w:t>
      </w:r>
    </w:p>
    <w:p>
      <w:pPr>
        <w:numPr>
          <w:ilvl w:val="0"/>
          <w:numId w:val="1011"/>
        </w:numPr>
        <w:pStyle w:val="Compact"/>
      </w:pPr>
      <w:r>
        <w:rPr>
          <w:bCs/>
          <w:b/>
        </w:rPr>
        <w:t xml:space="preserve">Week 7-8:</w:t>
      </w:r>
      <w:r>
        <w:t xml:space="preserve"> </w:t>
      </w:r>
      <w:r>
        <w:t xml:space="preserve">Data analysis and reporting.</w:t>
      </w:r>
    </w:p>
    <w:bookmarkEnd w:id="34"/>
    <w:bookmarkStart w:id="35" w:name="risk-management"/>
    <w:p>
      <w:pPr>
        <w:pStyle w:val="Heading2"/>
      </w:pPr>
      <w:r>
        <w:t xml:space="preserve">9. Risk Management</w:t>
      </w:r>
    </w:p>
    <w:p>
      <w:pPr>
        <w:pStyle w:val="FirstParagraph"/>
      </w:pPr>
      <w:r>
        <w:t xml:space="preserve">Potential risks and mitigation strategies include:</w:t>
      </w:r>
    </w:p>
    <w:p>
      <w:pPr>
        <w:numPr>
          <w:ilvl w:val="0"/>
          <w:numId w:val="1012"/>
        </w:numPr>
        <w:pStyle w:val="Compact"/>
      </w:pPr>
      <w:r>
        <w:rPr>
          <w:bCs/>
          <w:b/>
        </w:rPr>
        <w:t xml:space="preserve">Cultural Misunderstanding:</w:t>
      </w:r>
      <w:r>
        <w:t xml:space="preserve"> </w:t>
      </w:r>
      <w:r>
        <w:t xml:space="preserve">Content review and consultation with local cultural advisors.</w:t>
      </w:r>
    </w:p>
    <w:p>
      <w:pPr>
        <w:numPr>
          <w:ilvl w:val="0"/>
          <w:numId w:val="1012"/>
        </w:numPr>
        <w:pStyle w:val="Compact"/>
      </w:pPr>
      <w:r>
        <w:rPr>
          <w:bCs/>
          <w:b/>
        </w:rPr>
        <w:t xml:space="preserve">Technical Issues:</w:t>
      </w:r>
      <w:r>
        <w:t xml:space="preserve"> </w:t>
      </w:r>
      <w:r>
        <w:t xml:space="preserve">Backup equipment and technical support on-site.</w:t>
      </w:r>
    </w:p>
    <w:p>
      <w:pPr>
        <w:numPr>
          <w:ilvl w:val="0"/>
          <w:numId w:val="1012"/>
        </w:numPr>
        <w:pStyle w:val="Compact"/>
      </w:pPr>
      <w:r>
        <w:rPr>
          <w:bCs/>
          <w:b/>
        </w:rPr>
        <w:t xml:space="preserve">Audience Safety:</w:t>
      </w:r>
      <w:r>
        <w:t xml:space="preserve"> </w:t>
      </w:r>
      <w:r>
        <w:t xml:space="preserve">Compliance with venue safety protocols and crowd management.</w:t>
      </w:r>
    </w:p>
    <w:bookmarkEnd w:id="35"/>
    <w:bookmarkStart w:id="36" w:name="reporting-and-dissemination"/>
    <w:p>
      <w:pPr>
        <w:pStyle w:val="Heading2"/>
      </w:pPr>
      <w:r>
        <w:t xml:space="preserve">10. Reporting and Dissemination</w:t>
      </w:r>
    </w:p>
    <w:p>
      <w:pPr>
        <w:pStyle w:val="FirstParagraph"/>
      </w:pPr>
      <w:r>
        <w:t xml:space="preserve">Findings will be compiled into a comprehensive report detailing:</w:t>
      </w:r>
    </w:p>
    <w:p>
      <w:pPr>
        <w:numPr>
          <w:ilvl w:val="0"/>
          <w:numId w:val="1013"/>
        </w:numPr>
        <w:pStyle w:val="Compact"/>
      </w:pPr>
      <w:r>
        <w:t xml:space="preserve">Performance outcomes.</w:t>
      </w:r>
    </w:p>
    <w:p>
      <w:pPr>
        <w:numPr>
          <w:ilvl w:val="0"/>
          <w:numId w:val="1013"/>
        </w:numPr>
        <w:pStyle w:val="Compact"/>
      </w:pPr>
      <w:r>
        <w:t xml:space="preserve">Audience feedback and analysis.</w:t>
      </w:r>
    </w:p>
    <w:p>
      <w:pPr>
        <w:numPr>
          <w:ilvl w:val="0"/>
          <w:numId w:val="1013"/>
        </w:numPr>
        <w:pStyle w:val="Compact"/>
      </w:pPr>
      <w:r>
        <w:t xml:space="preserve">Recommendations for future musical events in Dubai.</w:t>
      </w:r>
    </w:p>
    <w:p>
      <w:pPr>
        <w:pStyle w:val="FirstParagraph"/>
      </w:pPr>
      <w:r>
        <w:t xml:space="preserve">Results may be shared with relevant cultural institutions, arts organizations, and academic bodies in the United Arab Emirates Dubai, subject to approval and confidentiality agreements.</w:t>
      </w:r>
    </w:p>
    <w:bookmarkEnd w:id="36"/>
    <w:bookmarkStart w:id="37" w:name="approval-and-signatures"/>
    <w:p>
      <w:pPr>
        <w:pStyle w:val="Heading2"/>
      </w:pPr>
      <w:r>
        <w:t xml:space="preserve">11. Approval and Signatures</w:t>
      </w:r>
    </w:p>
    <w:p>
      <w:pPr>
        <w:pStyle w:val="FirstParagraph"/>
      </w:pPr>
      <w:r>
        <w:t xml:space="preserve">This Experiment Protocol has been reviewed and approved by:</w:t>
      </w:r>
    </w:p>
    <w:p>
      <w:pPr>
        <w:numPr>
          <w:ilvl w:val="0"/>
          <w:numId w:val="1014"/>
        </w:numPr>
        <w:pStyle w:val="Compact"/>
      </w:pPr>
      <w:r>
        <w:t xml:space="preserve">Lead Researcher</w:t>
      </w:r>
    </w:p>
    <w:p>
      <w:pPr>
        <w:numPr>
          <w:ilvl w:val="0"/>
          <w:numId w:val="1014"/>
        </w:numPr>
        <w:pStyle w:val="Compact"/>
      </w:pPr>
      <w:r>
        <w:t xml:space="preserve">Venue Management Representative</w:t>
      </w:r>
    </w:p>
    <w:p>
      <w:pPr>
        <w:numPr>
          <w:ilvl w:val="0"/>
          <w:numId w:val="1014"/>
        </w:numPr>
        <w:pStyle w:val="Compact"/>
      </w:pPr>
      <w:r>
        <w:t xml:space="preserve">Cultural Compliance Officer</w:t>
      </w:r>
    </w:p>
    <w:p>
      <w:pPr>
        <w:pStyle w:val="FirstParagraph"/>
      </w:pPr>
      <w:r>
        <w:t xml:space="preserve">All parties agree to adhere to the terms and conditions outlined in this document.</w:t>
      </w:r>
    </w:p>
    <w:bookmarkEnd w:id="37"/>
    <w:p>
      <w:pPr>
        <w:pStyle w:val="BodyText"/>
      </w:pPr>
      <w:r>
        <w:rPr>
          <w:bCs/>
          <w:b/>
        </w:rPr>
        <w:t xml:space="preserve">Note:</w:t>
      </w:r>
      <w:r>
        <w:t xml:space="preserve"> </w:t>
      </w:r>
      <w:r>
        <w:t xml:space="preserve">This protocol is subject to revision based on regulatory updates, cultural considerations, or logistical changes specific to the United Arab Emirates Dubai. All modifications must be documented and approved by the relevant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United Arab Emirates Dubai</dc:title>
  <dc:creator/>
  <dc:language>en</dc:language>
  <cp:keywords/>
  <dcterms:created xsi:type="dcterms:W3CDTF">2026-10-10T07:33:06Z</dcterms:created>
  <dcterms:modified xsi:type="dcterms:W3CDTF">2026-10-10T07:33:06Z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