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the</w:t>
      </w:r>
      <w:r>
        <w:t xml:space="preserve"> </w:t>
      </w:r>
      <w:r>
        <w:t xml:space="preserve">Hassi</w:t>
      </w:r>
      <w:r>
        <w:t xml:space="preserve"> </w:t>
      </w:r>
      <w:r>
        <w:t xml:space="preserve">Messaoud</w:t>
      </w:r>
      <w:r>
        <w:t xml:space="preserve"> </w:t>
      </w:r>
      <w:r>
        <w:t xml:space="preserve">Formation</w:t>
      </w:r>
    </w:p>
    <w:bookmarkStart w:id="20" w:name="X1df926bb751fcd20ed7d50a221cd0bc2e6986c7"/>
    <w:p>
      <w:pPr>
        <w:pStyle w:val="Heading1"/>
      </w:pPr>
      <w:r>
        <w:t xml:space="preserve">Experiment Protocol: Enhanced Oil Recovery (EOR) via Polymer Flooding</w:t>
      </w:r>
    </w:p>
    <w:p>
      <w:pPr>
        <w:pStyle w:val="FirstParagraph"/>
      </w:pPr>
      <w:r>
        <w:rPr>
          <w:bCs/>
          <w:b/>
        </w:rPr>
        <w:t xml:space="preserve">Project Code:</w:t>
      </w:r>
      <w:r>
        <w:t xml:space="preserve"> </w:t>
      </w:r>
      <w:r>
        <w:t xml:space="preserve">ALG-PE-2024-04</w:t>
      </w:r>
    </w:p>
    <w:p>
      <w:pPr>
        <w:pStyle w:val="BodyText"/>
      </w:pPr>
      <w:r>
        <w:rPr>
          <w:bCs/>
          <w:b/>
        </w:rPr>
        <w:t xml:space="preserve">Location:</w:t>
      </w:r>
      <w:r>
        <w:t xml:space="preserve"> </w:t>
      </w:r>
      <w:r>
        <w:t xml:space="preserve">Hassi Messaoud Field, Wilaya of Adrar (Operational Base: Algiers, Algeria)</w:t>
      </w:r>
    </w:p>
    <w:p>
      <w:pPr>
        <w:pStyle w:val="BodyText"/>
      </w:pPr>
      <w:r>
        <w:rPr>
          <w:bCs/>
          <w:b/>
        </w:rPr>
        <w:t xml:space="preserve">Prepared By:</w:t>
      </w:r>
      <w:r>
        <w:t xml:space="preserve"> </w:t>
      </w:r>
      <w:r>
        <w:t xml:space="preserve">Senior Petroleum Engineer Team, Sonatrach Research Division</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conducting a pilot-scale Enhanced Oil Recovery (EOR) test utilizing polymer flooding techniques. The primary objective is to improve the sweep efficiency in mature carbonate reservoirs typical of the Algerian Sahara Basin. As a Petroleum Engineer operating within the regulatory and geological framework of Algeria, the focus is on maximizing hydrocarbon extraction while adhering to strict environmental standards set by the Ministry of Energy and Mines in Algiers.</w:t>
      </w:r>
    </w:p>
    <w:p>
      <w:pPr>
        <w:pStyle w:val="BodyText"/>
      </w:pPr>
      <w:r>
        <w:t xml:space="preserve">The specific goal of this experiment is to determine the optimal polymer concentration and injection rate to reduce the mobility ratio between the injected water and the reservoir oil, thereby increasing the ultimate recovery factor by an estimated 5-8%.</w:t>
      </w:r>
    </w:p>
    <w:bookmarkEnd w:id="21"/>
    <w:bookmarkStart w:id="22" w:name="geological-and-reservoir-context"/>
    <w:p>
      <w:pPr>
        <w:pStyle w:val="Heading2"/>
      </w:pPr>
      <w:r>
        <w:t xml:space="preserve">2. Geological and Reservoir Context</w:t>
      </w:r>
    </w:p>
    <w:p>
      <w:pPr>
        <w:pStyle w:val="FirstParagraph"/>
      </w:pPr>
      <w:r>
        <w:t xml:space="preserve">The target reservoir is located in the Hassi Messaoud area, characterized by high permeability carbonate formations. The reservoir pressure is currently at 180 bar, with a temperature of 95°C. The crude oil viscosity is 12 cP at reservoir conditions. This protocol is designed specifically for these harsh conditions, which are common in Algeria's major oil fields. The proximity to the central coordination offices in Algiers ensures rapid data analysis and strategic decision-making.</w:t>
      </w:r>
    </w:p>
    <w:bookmarkEnd w:id="22"/>
    <w:bookmarkStart w:id="23" w:name="scope-of-work"/>
    <w:p>
      <w:pPr>
        <w:pStyle w:val="Heading2"/>
      </w:pPr>
      <w:r>
        <w:t xml:space="preserve">3. Scope of Work</w:t>
      </w:r>
    </w:p>
    <w:p>
      <w:pPr>
        <w:pStyle w:val="FirstParagraph"/>
      </w:pPr>
      <w:r>
        <w:t xml:space="preserve">The scope of this experiment includes:</w:t>
      </w:r>
    </w:p>
    <w:p>
      <w:pPr>
        <w:numPr>
          <w:ilvl w:val="0"/>
          <w:numId w:val="1001"/>
        </w:numPr>
        <w:pStyle w:val="Compact"/>
      </w:pPr>
      <w:r>
        <w:t xml:space="preserve">Core flooding experiments in the laboratory.</w:t>
      </w:r>
    </w:p>
    <w:p>
      <w:pPr>
        <w:numPr>
          <w:ilvl w:val="0"/>
          <w:numId w:val="1001"/>
        </w:numPr>
        <w:pStyle w:val="Compact"/>
      </w:pPr>
      <w:r>
        <w:t xml:space="preserve">Field injection pilot design.</w:t>
      </w:r>
    </w:p>
    <w:p>
      <w:pPr>
        <w:numPr>
          <w:ilvl w:val="0"/>
          <w:numId w:val="1001"/>
        </w:numPr>
        <w:pStyle w:val="Compact"/>
      </w:pPr>
      <w:r>
        <w:t xml:space="preserve">Monitoring of pressure and production data.</w:t>
      </w:r>
    </w:p>
    <w:p>
      <w:pPr>
        <w:numPr>
          <w:ilvl w:val="0"/>
          <w:numId w:val="1001"/>
        </w:numPr>
        <w:pStyle w:val="Compact"/>
      </w:pPr>
      <w:r>
        <w:t xml:space="preserve">Environmental impact assessment.</w:t>
      </w:r>
    </w:p>
    <w:bookmarkEnd w:id="23"/>
    <w:bookmarkStart w:id="24" w:name="materials-and-equipment"/>
    <w:p>
      <w:pPr>
        <w:pStyle w:val="Heading2"/>
      </w:pPr>
      <w:r>
        <w:t xml:space="preserve">4. Materials and Equipment</w:t>
      </w:r>
    </w:p>
    <w:p>
      <w:pPr>
        <w:pStyle w:val="FirstParagraph"/>
      </w:pPr>
      <w:r>
        <w:t xml:space="preserve">The following materials and equipment are required for the Petroleum Engineer to execute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Partially Hydrolyzed Polyacrylamide (HPAM)</w:t>
            </w:r>
          </w:p>
        </w:tc>
        <w:tc>
          <w:tcPr/>
          <w:p>
            <w:pPr>
              <w:pStyle w:val="Compact"/>
              <w:jc w:val="left"/>
            </w:pPr>
            <w:r>
              <w:t xml:space="preserve">High molecular weight, salt-tolerant</w:t>
            </w:r>
          </w:p>
        </w:tc>
        <w:tc>
          <w:tcPr/>
          <w:p>
            <w:pPr>
              <w:pStyle w:val="Compact"/>
              <w:jc w:val="left"/>
            </w:pPr>
            <w:r>
              <w:t xml:space="preserve">500 kg</w:t>
            </w:r>
          </w:p>
        </w:tc>
      </w:tr>
      <w:tr>
        <w:tc>
          <w:tcPr/>
          <w:p>
            <w:pPr>
              <w:pStyle w:val="Compact"/>
              <w:jc w:val="left"/>
            </w:pPr>
            <w:r>
              <w:t xml:space="preserve">Core Samples</w:t>
            </w:r>
          </w:p>
        </w:tc>
        <w:tc>
          <w:tcPr/>
          <w:p>
            <w:pPr>
              <w:pStyle w:val="Compact"/>
              <w:jc w:val="left"/>
            </w:pPr>
            <w:r>
              <w:t xml:space="preserve">Plugged and polished, 3-inch diameter</w:t>
            </w:r>
          </w:p>
        </w:tc>
        <w:tc>
          <w:tcPr/>
          <w:p>
            <w:pPr>
              <w:pStyle w:val="Compact"/>
              <w:jc w:val="left"/>
            </w:pPr>
            <w:r>
              <w:t xml:space="preserve">10 samples</w:t>
            </w:r>
          </w:p>
        </w:tc>
      </w:tr>
      <w:tr>
        <w:tc>
          <w:tcPr/>
          <w:p>
            <w:pPr>
              <w:pStyle w:val="Compact"/>
              <w:jc w:val="left"/>
            </w:pPr>
            <w:r>
              <w:t xml:space="preserve">Core Flood Apparatus</w:t>
            </w:r>
          </w:p>
        </w:tc>
        <w:tc>
          <w:tcPr/>
          <w:p>
            <w:pPr>
              <w:pStyle w:val="Compact"/>
              <w:jc w:val="left"/>
            </w:pPr>
            <w:r>
              <w:t xml:space="preserve">High-pressure, high-temperature capable</w:t>
            </w:r>
          </w:p>
        </w:tc>
        <w:tc>
          <w:tcPr/>
          <w:p>
            <w:pPr>
              <w:pStyle w:val="Compact"/>
              <w:jc w:val="left"/>
            </w:pPr>
            <w:r>
              <w:t xml:space="preserve">2 units</w:t>
            </w:r>
          </w:p>
        </w:tc>
      </w:tr>
      <w:tr>
        <w:tc>
          <w:tcPr/>
          <w:p>
            <w:pPr>
              <w:pStyle w:val="Compact"/>
              <w:jc w:val="left"/>
            </w:pPr>
            <w:r>
              <w:t xml:space="preserve">Viscometer</w:t>
            </w:r>
          </w:p>
        </w:tc>
        <w:tc>
          <w:tcPr/>
          <w:p>
            <w:pPr>
              <w:pStyle w:val="Compact"/>
              <w:jc w:val="left"/>
            </w:pPr>
            <w:r>
              <w:t xml:space="preserve">Rotational, capable of measuring up to 100°C</w:t>
            </w:r>
          </w:p>
        </w:tc>
        <w:tc>
          <w:tcPr/>
          <w:p>
            <w:pPr>
              <w:pStyle w:val="Compact"/>
              <w:jc w:val="left"/>
            </w:pPr>
            <w:r>
              <w:t xml:space="preserve">1 unit</w:t>
            </w:r>
          </w:p>
        </w:tc>
      </w:tr>
      <w:tr>
        <w:tc>
          <w:tcPr/>
          <w:p>
            <w:pPr>
              <w:pStyle w:val="Compact"/>
              <w:jc w:val="left"/>
            </w:pPr>
            <w:r>
              <w:t xml:space="preserve">Injection Pumps</w:t>
            </w:r>
          </w:p>
        </w:tc>
        <w:tc>
          <w:tcPr/>
          <w:p>
            <w:pPr>
              <w:pStyle w:val="Compact"/>
              <w:jc w:val="left"/>
            </w:pPr>
            <w:r>
              <w:t xml:space="preserve">Precision metering pumps</w:t>
            </w:r>
          </w:p>
        </w:tc>
        <w:tc>
          <w:tcPr/>
          <w:p>
            <w:pPr>
              <w:pStyle w:val="Compact"/>
              <w:jc w:val="left"/>
            </w:pPr>
            <w:r>
              <w:t xml:space="preserve">4 units</w:t>
            </w:r>
          </w:p>
        </w:tc>
      </w:tr>
    </w:tbl>
    <w:bookmarkEnd w:id="24"/>
    <w:bookmarkStart w:id="27" w:name="experimental-procedure"/>
    <w:p>
      <w:pPr>
        <w:pStyle w:val="Heading2"/>
      </w:pPr>
      <w:r>
        <w:t xml:space="preserve">5. Experimental Procedure</w:t>
      </w:r>
    </w:p>
    <w:bookmarkStart w:id="25" w:name="laboratory-phase"/>
    <w:p>
      <w:pPr>
        <w:pStyle w:val="Heading3"/>
      </w:pPr>
      <w:r>
        <w:t xml:space="preserve">5.1. Laboratory Phase</w:t>
      </w:r>
    </w:p>
    <w:p>
      <w:pPr>
        <w:pStyle w:val="FirstParagraph"/>
      </w:pPr>
      <w:r>
        <w:t xml:space="preserve">The Petroleum Engineer will first conduct core flooding experiments to simulate reservoir conditions. The steps are as follows:</w:t>
      </w:r>
    </w:p>
    <w:p>
      <w:pPr>
        <w:numPr>
          <w:ilvl w:val="0"/>
          <w:numId w:val="1002"/>
        </w:numPr>
        <w:pStyle w:val="Compact"/>
      </w:pPr>
      <w:r>
        <w:rPr>
          <w:bCs/>
          <w:b/>
        </w:rPr>
        <w:t xml:space="preserve">Sample Preparation:</w:t>
      </w:r>
      <w:r>
        <w:t xml:space="preserve"> </w:t>
      </w:r>
      <w:r>
        <w:t xml:space="preserve">Clean and saturate core samples with brine matching the salinity of the Hassi Messaoud formation water.</w:t>
      </w:r>
    </w:p>
    <w:p>
      <w:pPr>
        <w:numPr>
          <w:ilvl w:val="0"/>
          <w:numId w:val="1002"/>
        </w:numPr>
        <w:pStyle w:val="Compact"/>
      </w:pPr>
      <w:r>
        <w:rPr>
          <w:bCs/>
          <w:b/>
        </w:rPr>
        <w:t xml:space="preserve">Permeability Measurement:</w:t>
      </w:r>
      <w:r>
        <w:t xml:space="preserve"> </w:t>
      </w:r>
      <w:r>
        <w:t xml:space="preserve">Measure the initial permeability of each core sample using nitrogen gas at a pressure of 50 bar.</w:t>
      </w:r>
    </w:p>
    <w:p>
      <w:pPr>
        <w:numPr>
          <w:ilvl w:val="0"/>
          <w:numId w:val="1002"/>
        </w:numPr>
        <w:pStyle w:val="Compact"/>
      </w:pPr>
      <w:r>
        <w:rPr>
          <w:bCs/>
          <w:b/>
        </w:rPr>
        <w:t xml:space="preserve">Polymer Solution Preparation:</w:t>
      </w:r>
      <w:r>
        <w:t xml:space="preserve"> </w:t>
      </w:r>
      <w:r>
        <w:t xml:space="preserve">Prepare polymer solutions with concentrations ranging from 500 to 2000 ppm. Ensure complete hydration and filtration to prevent plugging.</w:t>
      </w:r>
    </w:p>
    <w:p>
      <w:pPr>
        <w:numPr>
          <w:ilvl w:val="0"/>
          <w:numId w:val="1002"/>
        </w:numPr>
        <w:pStyle w:val="Compact"/>
      </w:pPr>
      <w:r>
        <w:rPr>
          <w:bCs/>
          <w:b/>
        </w:rPr>
        <w:t xml:space="preserve">Flooding Process:</w:t>
      </w:r>
      <w:r>
        <w:t xml:space="preserve"> </w:t>
      </w:r>
      <w:r>
        <w:t xml:space="preserve">Inject the polymer solution into the core samples at a constant flow rate. Monitor the pressure drop across the core and the effluent composition.</w:t>
      </w:r>
    </w:p>
    <w:p>
      <w:pPr>
        <w:numPr>
          <w:ilvl w:val="0"/>
          <w:numId w:val="1002"/>
        </w:numPr>
        <w:pStyle w:val="Compact"/>
      </w:pPr>
      <w:r>
        <w:rPr>
          <w:bCs/>
          <w:b/>
        </w:rPr>
        <w:t xml:space="preserve">Data Analysis:</w:t>
      </w:r>
      <w:r>
        <w:t xml:space="preserve"> </w:t>
      </w:r>
      <w:r>
        <w:t xml:space="preserve">Calculate the mobility ratio and sweep efficiency for each polymer concentration.</w:t>
      </w:r>
    </w:p>
    <w:bookmarkEnd w:id="25"/>
    <w:bookmarkStart w:id="26" w:name="field-pilot-phase"/>
    <w:p>
      <w:pPr>
        <w:pStyle w:val="Heading3"/>
      </w:pPr>
      <w:r>
        <w:t xml:space="preserve">5.2. Field Pilot Phase</w:t>
      </w:r>
    </w:p>
    <w:p>
      <w:pPr>
        <w:pStyle w:val="FirstParagraph"/>
      </w:pPr>
      <w:r>
        <w:t xml:space="preserve">Based on the laboratory results, a field pilot will be designed and executed. The steps are as follows:</w:t>
      </w:r>
    </w:p>
    <w:p>
      <w:pPr>
        <w:numPr>
          <w:ilvl w:val="0"/>
          <w:numId w:val="1003"/>
        </w:numPr>
        <w:pStyle w:val="Compact"/>
      </w:pPr>
      <w:r>
        <w:rPr>
          <w:bCs/>
          <w:b/>
        </w:rPr>
        <w:t xml:space="preserve">Well Selection:</w:t>
      </w:r>
      <w:r>
        <w:t xml:space="preserve"> </w:t>
      </w:r>
      <w:r>
        <w:t xml:space="preserve">Select injection and production wells based on reservoir connectivity and historical performance.</w:t>
      </w:r>
    </w:p>
    <w:p>
      <w:pPr>
        <w:numPr>
          <w:ilvl w:val="0"/>
          <w:numId w:val="1003"/>
        </w:numPr>
        <w:pStyle w:val="Compact"/>
      </w:pPr>
      <w:r>
        <w:rPr>
          <w:bCs/>
          <w:b/>
        </w:rPr>
        <w:t xml:space="preserve">Injection System Setup:</w:t>
      </w:r>
      <w:r>
        <w:t xml:space="preserve"> </w:t>
      </w:r>
      <w:r>
        <w:t xml:space="preserve">Install polymer mixing and injection facilities at the wellhead.</w:t>
      </w:r>
    </w:p>
    <w:p>
      <w:pPr>
        <w:numPr>
          <w:ilvl w:val="0"/>
          <w:numId w:val="1003"/>
        </w:numPr>
        <w:pStyle w:val="Compact"/>
      </w:pPr>
      <w:r>
        <w:rPr>
          <w:bCs/>
          <w:b/>
        </w:rPr>
        <w:t xml:space="preserve">Injection:</w:t>
      </w:r>
      <w:r>
        <w:t xml:space="preserve"> </w:t>
      </w:r>
      <w:r>
        <w:t xml:space="preserve">Begin injecting the optimized polymer solution at the determined rate. Monitor injection pressure and volume.</w:t>
      </w:r>
    </w:p>
    <w:p>
      <w:pPr>
        <w:numPr>
          <w:ilvl w:val="0"/>
          <w:numId w:val="1003"/>
        </w:numPr>
        <w:pStyle w:val="Compact"/>
      </w:pPr>
      <w:r>
        <w:rPr>
          <w:bCs/>
          <w:b/>
        </w:rPr>
        <w:t xml:space="preserve">Production Monitoring:</w:t>
      </w:r>
      <w:r>
        <w:t xml:space="preserve"> </w:t>
      </w:r>
      <w:r>
        <w:t xml:space="preserve">Track the production rate, water cut, and oil viscosity of the produced fluids.</w:t>
      </w:r>
    </w:p>
    <w:p>
      <w:pPr>
        <w:numPr>
          <w:ilvl w:val="0"/>
          <w:numId w:val="1003"/>
        </w:numPr>
        <w:pStyle w:val="Compact"/>
      </w:pPr>
      <w:r>
        <w:rPr>
          <w:bCs/>
          <w:b/>
        </w:rPr>
        <w:t xml:space="preserve">Tracer Tests:</w:t>
      </w:r>
      <w:r>
        <w:t xml:space="preserve"> </w:t>
      </w:r>
      <w:r>
        <w:t xml:space="preserve">Inject chemical tracers to map the flow paths and identify bypassed oil zones.</w:t>
      </w:r>
    </w:p>
    <w:bookmarkEnd w:id="26"/>
    <w:bookmarkEnd w:id="27"/>
    <w:bookmarkStart w:id="28" w:name="data-collection-and-analysis"/>
    <w:p>
      <w:pPr>
        <w:pStyle w:val="Heading2"/>
      </w:pPr>
      <w:r>
        <w:t xml:space="preserve">6. Data Collection and Analysis</w:t>
      </w:r>
    </w:p>
    <w:p>
      <w:pPr>
        <w:pStyle w:val="FirstParagraph"/>
      </w:pPr>
      <w:r>
        <w:t xml:space="preserve">The Petroleum Engineer will collect and analyze the following data:</w:t>
      </w:r>
    </w:p>
    <w:p>
      <w:pPr>
        <w:numPr>
          <w:ilvl w:val="0"/>
          <w:numId w:val="1004"/>
        </w:numPr>
        <w:pStyle w:val="Compact"/>
      </w:pPr>
      <w:r>
        <w:t xml:space="preserve">Injection pressure and rate.</w:t>
      </w:r>
    </w:p>
    <w:p>
      <w:pPr>
        <w:numPr>
          <w:ilvl w:val="0"/>
          <w:numId w:val="1004"/>
        </w:numPr>
        <w:pStyle w:val="Compact"/>
      </w:pPr>
      <w:r>
        <w:t xml:space="preserve">Production rate of oil, water, and gas.</w:t>
      </w:r>
    </w:p>
    <w:p>
      <w:pPr>
        <w:numPr>
          <w:ilvl w:val="0"/>
          <w:numId w:val="1004"/>
        </w:numPr>
        <w:pStyle w:val="Compact"/>
      </w:pPr>
      <w:r>
        <w:t xml:space="preserve">Water cut percentage.</w:t>
      </w:r>
    </w:p>
    <w:p>
      <w:pPr>
        <w:numPr>
          <w:ilvl w:val="0"/>
          <w:numId w:val="1004"/>
        </w:numPr>
        <w:pStyle w:val="Compact"/>
      </w:pPr>
      <w:r>
        <w:t xml:space="preserve">Viscosity of produced fluids.</w:t>
      </w:r>
    </w:p>
    <w:p>
      <w:pPr>
        <w:numPr>
          <w:ilvl w:val="0"/>
          <w:numId w:val="1004"/>
        </w:numPr>
        <w:pStyle w:val="Compact"/>
      </w:pPr>
      <w:r>
        <w:t xml:space="preserve">Tracer breakthrough times.</w:t>
      </w:r>
    </w:p>
    <w:p>
      <w:pPr>
        <w:pStyle w:val="FirstParagraph"/>
      </w:pPr>
      <w:r>
        <w:t xml:space="preserve">Data will be analyzed using reservoir simulation software to predict the long-term performance of the polymer flooding process. The results will be compared with historical production data to quantify the incremental oil recovery.</w:t>
      </w:r>
    </w:p>
    <w:bookmarkEnd w:id="28"/>
    <w:bookmarkStart w:id="29" w:name="health-safety-and-environment-hse"/>
    <w:p>
      <w:pPr>
        <w:pStyle w:val="Heading2"/>
      </w:pPr>
      <w:r>
        <w:t xml:space="preserve">7. Health, Safety, and Environment (HSE)</w:t>
      </w:r>
    </w:p>
    <w:p>
      <w:pPr>
        <w:pStyle w:val="FirstParagraph"/>
      </w:pPr>
      <w:r>
        <w:t xml:space="preserve">Strict adherence to HSE regulations is mandatory. The following measures will be implemented:</w:t>
      </w:r>
    </w:p>
    <w:p>
      <w:pPr>
        <w:numPr>
          <w:ilvl w:val="0"/>
          <w:numId w:val="1005"/>
        </w:numPr>
        <w:pStyle w:val="Compact"/>
      </w:pPr>
      <w:r>
        <w:t xml:space="preserve">All personnel must wear appropriate personal protective equipment (PPE).</w:t>
      </w:r>
    </w:p>
    <w:p>
      <w:pPr>
        <w:numPr>
          <w:ilvl w:val="0"/>
          <w:numId w:val="1005"/>
        </w:numPr>
        <w:pStyle w:val="Compact"/>
      </w:pPr>
      <w:r>
        <w:t xml:space="preserve">Polymer handling procedures must be followed to prevent skin contact and inhalation.</w:t>
      </w:r>
    </w:p>
    <w:p>
      <w:pPr>
        <w:numPr>
          <w:ilvl w:val="0"/>
          <w:numId w:val="1005"/>
        </w:numPr>
        <w:pStyle w:val="Compact"/>
      </w:pPr>
      <w:r>
        <w:t xml:space="preserve">Spill containment systems must be in place at all injection sites.</w:t>
      </w:r>
    </w:p>
    <w:p>
      <w:pPr>
        <w:numPr>
          <w:ilvl w:val="0"/>
          <w:numId w:val="1005"/>
        </w:numPr>
        <w:pStyle w:val="Compact"/>
      </w:pPr>
      <w:r>
        <w:t xml:space="preserve">Waste fluids must be treated and disposed of in accordance with Algerian environmental laws.</w:t>
      </w:r>
    </w:p>
    <w:p>
      <w:pPr>
        <w:numPr>
          <w:ilvl w:val="0"/>
          <w:numId w:val="1005"/>
        </w:numPr>
        <w:pStyle w:val="Compact"/>
      </w:pPr>
      <w:r>
        <w:t xml:space="preserve">Regular safety drills and inspections will be conducted.</w:t>
      </w:r>
    </w:p>
    <w:bookmarkEnd w:id="29"/>
    <w:bookmarkStart w:id="30" w:name="timeline-and-milestones"/>
    <w:p>
      <w:pPr>
        <w:pStyle w:val="Heading2"/>
      </w:pPr>
      <w:r>
        <w:t xml:space="preserve">8.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Duration</w:t>
            </w:r>
          </w:p>
        </w:tc>
        <w:tc>
          <w:tcPr/>
          <w:p>
            <w:pPr>
              <w:pStyle w:val="Compact"/>
              <w:jc w:val="left"/>
            </w:pPr>
            <w:r>
              <w:t xml:space="preserve">Responsible Party</w:t>
            </w:r>
          </w:p>
        </w:tc>
      </w:tr>
      <w:tr>
        <w:tc>
          <w:tcPr/>
          <w:p>
            <w:pPr>
              <w:pStyle w:val="Compact"/>
              <w:jc w:val="left"/>
            </w:pPr>
            <w:r>
              <w:t xml:space="preserve">Laboratory Experiments</w:t>
            </w:r>
          </w:p>
        </w:tc>
        <w:tc>
          <w:tcPr/>
          <w:p>
            <w:pPr>
              <w:pStyle w:val="Compact"/>
              <w:jc w:val="left"/>
            </w:pPr>
            <w:r>
              <w:t xml:space="preserve">3 months</w:t>
            </w:r>
          </w:p>
        </w:tc>
        <w:tc>
          <w:tcPr/>
          <w:p>
            <w:pPr>
              <w:pStyle w:val="Compact"/>
              <w:jc w:val="left"/>
            </w:pPr>
            <w:r>
              <w:t xml:space="preserve">Research Team</w:t>
            </w:r>
          </w:p>
        </w:tc>
      </w:tr>
      <w:tr>
        <w:tc>
          <w:tcPr/>
          <w:p>
            <w:pPr>
              <w:pStyle w:val="Compact"/>
              <w:jc w:val="left"/>
            </w:pPr>
            <w:r>
              <w:t xml:space="preserve">Pilot Design and Approval</w:t>
            </w:r>
          </w:p>
        </w:tc>
        <w:tc>
          <w:tcPr/>
          <w:p>
            <w:pPr>
              <w:pStyle w:val="Compact"/>
              <w:jc w:val="left"/>
            </w:pPr>
            <w:r>
              <w:t xml:space="preserve">2 months</w:t>
            </w:r>
          </w:p>
        </w:tc>
        <w:tc>
          <w:tcPr/>
          <w:p>
            <w:pPr>
              <w:pStyle w:val="Compact"/>
              <w:jc w:val="left"/>
            </w:pPr>
            <w:r>
              <w:t xml:space="preserve">Project Manager</w:t>
            </w:r>
          </w:p>
        </w:tc>
      </w:tr>
      <w:tr>
        <w:tc>
          <w:tcPr/>
          <w:p>
            <w:pPr>
              <w:pStyle w:val="Compact"/>
              <w:jc w:val="left"/>
            </w:pPr>
            <w:r>
              <w:t xml:space="preserve">Field Installation</w:t>
            </w:r>
          </w:p>
        </w:tc>
        <w:tc>
          <w:tcPr/>
          <w:p>
            <w:pPr>
              <w:pStyle w:val="Compact"/>
              <w:jc w:val="left"/>
            </w:pPr>
            <w:r>
              <w:t xml:space="preserve">2 months</w:t>
            </w:r>
          </w:p>
        </w:tc>
        <w:tc>
          <w:tcPr/>
          <w:p>
            <w:pPr>
              <w:pStyle w:val="Compact"/>
              <w:jc w:val="left"/>
            </w:pPr>
            <w:r>
              <w:t xml:space="preserve">Operations Team</w:t>
            </w:r>
          </w:p>
        </w:tc>
      </w:tr>
      <w:tr>
        <w:tc>
          <w:tcPr/>
          <w:p>
            <w:pPr>
              <w:pStyle w:val="Compact"/>
              <w:jc w:val="left"/>
            </w:pPr>
            <w:r>
              <w:t xml:space="preserve">Pilot Execution</w:t>
            </w:r>
          </w:p>
        </w:tc>
        <w:tc>
          <w:tcPr/>
          <w:p>
            <w:pPr>
              <w:pStyle w:val="Compact"/>
              <w:jc w:val="left"/>
            </w:pPr>
            <w:r>
              <w:t xml:space="preserve">12 months</w:t>
            </w:r>
          </w:p>
        </w:tc>
        <w:tc>
          <w:tcPr/>
          <w:p>
            <w:pPr>
              <w:pStyle w:val="Compact"/>
              <w:jc w:val="left"/>
            </w:pPr>
            <w:r>
              <w:t xml:space="preserve">Field Engineers</w:t>
            </w:r>
          </w:p>
        </w:tc>
      </w:tr>
      <w:tr>
        <w:tc>
          <w:tcPr/>
          <w:p>
            <w:pPr>
              <w:pStyle w:val="Compact"/>
              <w:jc w:val="left"/>
            </w:pPr>
            <w:r>
              <w:t xml:space="preserve">Data Analysis and Reporting</w:t>
            </w:r>
          </w:p>
        </w:tc>
        <w:tc>
          <w:tcPr/>
          <w:p>
            <w:pPr>
              <w:pStyle w:val="Compact"/>
              <w:jc w:val="left"/>
            </w:pPr>
            <w:r>
              <w:t xml:space="preserve">3 months</w:t>
            </w:r>
          </w:p>
        </w:tc>
        <w:tc>
          <w:tcPr/>
          <w:p>
            <w:pPr>
              <w:pStyle w:val="Compact"/>
              <w:jc w:val="left"/>
            </w:pPr>
            <w:r>
              <w:t xml:space="preserve">Reservoir Engineers</w:t>
            </w:r>
          </w:p>
        </w:tc>
      </w:tr>
    </w:tbl>
    <w:bookmarkEnd w:id="30"/>
    <w:bookmarkStart w:id="31" w:name="conclusion"/>
    <w:p>
      <w:pPr>
        <w:pStyle w:val="Heading2"/>
      </w:pPr>
      <w:r>
        <w:t xml:space="preserve">9. Conclusion</w:t>
      </w:r>
    </w:p>
    <w:p>
      <w:pPr>
        <w:pStyle w:val="FirstParagraph"/>
      </w:pPr>
      <w:r>
        <w:t xml:space="preserve">This Experiment Protocol provides a comprehensive framework for conducting a polymer flooding EOR pilot in the Hassi Messaoud field. By following this protocol, the Petroleum Engineer team in Algeria Algiers aims to enhance oil recovery, extend the life of the reservoir, and contribute to the national energy goals. The results of this experiment will be critical for future EOR projects in similar reservoirs across the country.</w:t>
      </w:r>
    </w:p>
    <w:bookmarkEnd w:id="31"/>
    <w:p>
      <w:pPr>
        <w:pStyle w:val="BodyText"/>
      </w:pPr>
      <w:r>
        <w:t xml:space="preserve">Document Control: Version 1.0 | Approved by: Chief Petroleum Engineer, Sonatrach | Confidentiality Level: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the Hassi Messaoud Formation</dc:title>
  <dc:creator/>
  <dc:language>en</dc:language>
  <cp:keywords/>
  <dcterms:created xsi:type="dcterms:W3CDTF">2026-10-10T06:15:06Z</dcterms:created>
  <dcterms:modified xsi:type="dcterms:W3CDTF">2026-10-10T06:15:06Z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