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Sydney</w:t>
      </w:r>
      <w:r>
        <w:t xml:space="preserve"> </w:t>
      </w:r>
      <w:r>
        <w:t xml:space="preserve">Basin</w:t>
      </w:r>
      <w:r>
        <w:t xml:space="preserve"> </w:t>
      </w:r>
      <w:r>
        <w:t xml:space="preserve">Sandstone</w:t>
      </w:r>
    </w:p>
    <w:bookmarkStart w:id="20" w:name="X125f20017e929b8197090656a3eb12f38123aa2"/>
    <w:p>
      <w:pPr>
        <w:pStyle w:val="Heading1"/>
      </w:pPr>
      <w:r>
        <w:t xml:space="preserve">Experiment Protocol: Enhanced Oil Recovery (EOR) in Sydney Basin Sandstone</w:t>
      </w:r>
    </w:p>
    <w:p>
      <w:pPr>
        <w:pStyle w:val="FirstParagraph"/>
      </w:pPr>
      <w:r>
        <w:rPr>
          <w:bCs/>
          <w:b/>
        </w:rPr>
        <w:t xml:space="preserve">Document ID:</w:t>
      </w:r>
      <w:r>
        <w:t xml:space="preserve"> </w:t>
      </w:r>
      <w:r>
        <w:t xml:space="preserve">PE-SYD-2023-045</w:t>
      </w:r>
    </w:p>
    <w:p>
      <w:pPr>
        <w:pStyle w:val="BodyText"/>
      </w:pPr>
      <w:r>
        <w:rPr>
          <w:bCs/>
          <w:b/>
        </w:rPr>
        <w:t xml:space="preserve">Prepared For:</w:t>
      </w:r>
      <w:r>
        <w:t xml:space="preserve"> </w:t>
      </w:r>
      <w:r>
        <w:t xml:space="preserve">Petroleum Engineering Research Division, Sydney, Australia</w:t>
      </w:r>
    </w:p>
    <w:p>
      <w:pPr>
        <w:pStyle w:val="BodyText"/>
      </w:pPr>
      <w:r>
        <w:rPr>
          <w:bCs/>
          <w:b/>
        </w:rPr>
        <w:t xml:space="preserve">Location:</w:t>
      </w:r>
      <w:r>
        <w:t xml:space="preserve"> </w:t>
      </w:r>
      <w:r>
        <w:t xml:space="preserve">University of Sydney / Industry Partner Lab, NSW, Australia</w:t>
      </w:r>
    </w:p>
    <w:p>
      <w:pPr>
        <w:pStyle w:val="BodyText"/>
      </w:pPr>
      <w:r>
        <w:rPr>
          <w:bCs/>
          <w:b/>
        </w:rPr>
        <w:t xml:space="preserve">Date:</w:t>
      </w:r>
      <w:r>
        <w:t xml:space="preserve"> </w:t>
      </w:r>
      <w:r>
        <w:t xml:space="preserve">October 24, 2023</w:t>
      </w:r>
    </w:p>
    <w:p>
      <w:pPr>
        <w:pStyle w:val="BodyText"/>
      </w:pPr>
      <w:r>
        <w:rPr>
          <w:bCs/>
          <w:b/>
        </w:rPr>
        <w:t xml:space="preserve">Author:</w:t>
      </w:r>
      <w:r>
        <w:t xml:space="preserve"> </w:t>
      </w:r>
      <w:r>
        <w:t xml:space="preserve">Senior Petroleum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efficiency of chemical flooding techniques for Enhanced Oil Recovery (EOR) specifically tailored to the geological characteristics of the Sydney Basin. As a Petroleum Engineer operating within the regulatory and environmental framework of Australia Sydney, the primary objective is to maximize hydrocarbon extraction from mature sandstone reservoirs while minimizing environmental impact.</w:t>
      </w:r>
    </w:p>
    <w:p>
      <w:pPr>
        <w:pStyle w:val="BodyText"/>
      </w:pPr>
      <w:r>
        <w:t xml:space="preserve">The Sydney Basin presents unique challenges due to its complex stratigraphy and varying permeability. This experiment aims to determine the optimal surfactant concentration and injection rate to reduce interfacial tension between trapped oil and brine in representative core samples. The results will inform field-scale operations in the region, ensuring compliance with Australian petroleum standards.</w:t>
      </w:r>
    </w:p>
    <w:bookmarkEnd w:id="21"/>
    <w:bookmarkStart w:id="22" w:name="scope-and-applicability"/>
    <w:p>
      <w:pPr>
        <w:pStyle w:val="Heading2"/>
      </w:pPr>
      <w:r>
        <w:t xml:space="preserve">2. Scope and Applicability</w:t>
      </w:r>
    </w:p>
    <w:p>
      <w:pPr>
        <w:pStyle w:val="FirstParagraph"/>
      </w:pPr>
      <w:r>
        <w:t xml:space="preserve">This protocol applies to laboratory-scale core flooding experiments conducted by qualified Petroleum Engineers. It is designed to simulate reservoir conditions found in the Wianamatta Group and Hawkesbury Sandstone formations common in the Sydney Basin. The procedures adhere to the guidelines set by the Department of Industry, Science and Resources in Australia.</w:t>
      </w:r>
    </w:p>
    <w:bookmarkEnd w:id="22"/>
    <w:bookmarkStart w:id="23" w:name="safety-and-environmental-compliance"/>
    <w:p>
      <w:pPr>
        <w:pStyle w:val="Heading2"/>
      </w:pPr>
      <w:r>
        <w:t xml:space="preserve">3. Safety and Environmental Compliance</w:t>
      </w:r>
    </w:p>
    <w:p>
      <w:pPr>
        <w:pStyle w:val="FirstParagraph"/>
      </w:pPr>
      <w:r>
        <w:t xml:space="preserve">Given the strict environmental regulations in New South Wales, all procedures must prioritize safety and waste management.</w:t>
      </w:r>
    </w:p>
    <w:p>
      <w:pPr>
        <w:numPr>
          <w:ilvl w:val="0"/>
          <w:numId w:val="1001"/>
        </w:numPr>
        <w:pStyle w:val="Compact"/>
      </w:pPr>
      <w:r>
        <w:rPr>
          <w:bCs/>
          <w:b/>
        </w:rPr>
        <w:t xml:space="preserve">Personal Protective Equipment (PPE):</w:t>
      </w:r>
      <w:r>
        <w:t xml:space="preserve"> </w:t>
      </w:r>
      <w:r>
        <w:t xml:space="preserve">All personnel must wear safety goggles, chemical-resistant gloves, lab coats, and closed-toe shoes.</w:t>
      </w:r>
    </w:p>
    <w:p>
      <w:pPr>
        <w:numPr>
          <w:ilvl w:val="0"/>
          <w:numId w:val="1001"/>
        </w:numPr>
        <w:pStyle w:val="Compact"/>
      </w:pPr>
      <w:r>
        <w:rPr>
          <w:bCs/>
          <w:b/>
        </w:rPr>
        <w:t xml:space="preserve">Chemical Handling:</w:t>
      </w:r>
      <w:r>
        <w:t xml:space="preserve"> </w:t>
      </w:r>
      <w:r>
        <w:t xml:space="preserve">Surfactants and solvents must be handled in a fume hood. Material Safety Data Sheets (MSDS) must be accessible.</w:t>
      </w:r>
    </w:p>
    <w:p>
      <w:pPr>
        <w:numPr>
          <w:ilvl w:val="0"/>
          <w:numId w:val="1001"/>
        </w:numPr>
        <w:pStyle w:val="Compact"/>
      </w:pPr>
      <w:r>
        <w:rPr>
          <w:bCs/>
          <w:b/>
        </w:rPr>
        <w:t xml:space="preserve">Waste Disposal:</w:t>
      </w:r>
      <w:r>
        <w:t xml:space="preserve"> </w:t>
      </w:r>
      <w:r>
        <w:t xml:space="preserve">All hydrocarbon waste and chemical effluents must be collected in designated hazardous waste containers and disposed of according to Sydney Water and EPA NSW guidelines.</w:t>
      </w:r>
    </w:p>
    <w:p>
      <w:pPr>
        <w:numPr>
          <w:ilvl w:val="0"/>
          <w:numId w:val="1001"/>
        </w:numPr>
        <w:pStyle w:val="Compact"/>
      </w:pPr>
      <w:r>
        <w:rPr>
          <w:bCs/>
          <w:b/>
        </w:rPr>
        <w:t xml:space="preserve">Emergency Procedures:</w:t>
      </w:r>
      <w:r>
        <w:t xml:space="preserve"> </w:t>
      </w:r>
      <w:r>
        <w:t xml:space="preserve">In case of spillage, use the designated spill kit. Report incidents immediately to the laboratory supervisor.</w:t>
      </w:r>
    </w:p>
    <w:bookmarkEnd w:id="23"/>
    <w:bookmarkStart w:id="24" w:name="materials-and-equipment"/>
    <w:p>
      <w:pPr>
        <w:pStyle w:val="Heading2"/>
      </w:pPr>
      <w:r>
        <w:t xml:space="preserve">4. Materials and Equipment</w:t>
      </w:r>
    </w:p>
    <w:p>
      <w:pPr>
        <w:pStyle w:val="FirstParagraph"/>
      </w:pPr>
      <w:r>
        <w:t xml:space="preserve">The following equipment is required to simulate the reservoir conditions of the Sydney Basin: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Sandstone cores from Sydney Basin (5cm diameter, 10cm length)</w:t>
            </w:r>
          </w:p>
        </w:tc>
        <w:tc>
          <w:tcPr/>
          <w:p>
            <w:pPr>
              <w:pStyle w:val="Compact"/>
              <w:jc w:val="left"/>
            </w:pPr>
            <w:r>
              <w:t xml:space="preserve">3</w:t>
            </w:r>
          </w:p>
        </w:tc>
      </w:tr>
      <w:tr>
        <w:tc>
          <w:tcPr/>
          <w:p>
            <w:pPr>
              <w:pStyle w:val="Compact"/>
              <w:jc w:val="left"/>
            </w:pPr>
            <w:r>
              <w:t xml:space="preserve">Core Holder</w:t>
            </w:r>
          </w:p>
        </w:tc>
        <w:tc>
          <w:tcPr/>
          <w:p>
            <w:pPr>
              <w:pStyle w:val="Compact"/>
              <w:jc w:val="left"/>
            </w:pPr>
            <w:r>
              <w:t xml:space="preserve">High-pressure, temperature-controlled (up to 150°C, 5000 psi)</w:t>
            </w:r>
          </w:p>
        </w:tc>
        <w:tc>
          <w:tcPr/>
          <w:p>
            <w:pPr>
              <w:pStyle w:val="Compact"/>
              <w:jc w:val="left"/>
            </w:pPr>
            <w:r>
              <w:t xml:space="preserve">1</w:t>
            </w:r>
          </w:p>
        </w:tc>
      </w:tr>
      <w:tr>
        <w:tc>
          <w:tcPr/>
          <w:p>
            <w:pPr>
              <w:pStyle w:val="Compact"/>
              <w:jc w:val="left"/>
            </w:pPr>
            <w:r>
              <w:t xml:space="preserve">High-Pressure Pump</w:t>
            </w:r>
          </w:p>
        </w:tc>
        <w:tc>
          <w:tcPr/>
          <w:p>
            <w:pPr>
              <w:pStyle w:val="Compact"/>
              <w:jc w:val="left"/>
            </w:pPr>
            <w:r>
              <w:t xml:space="preserve">Constant flow rate injection system</w:t>
            </w:r>
          </w:p>
        </w:tc>
        <w:tc>
          <w:tcPr/>
          <w:p>
            <w:pPr>
              <w:pStyle w:val="Compact"/>
              <w:jc w:val="left"/>
            </w:pPr>
            <w:r>
              <w:t xml:space="preserve">1</w:t>
            </w:r>
          </w:p>
        </w:tc>
      </w:tr>
      <w:tr>
        <w:tc>
          <w:tcPr/>
          <w:p>
            <w:pPr>
              <w:pStyle w:val="Compact"/>
              <w:jc w:val="left"/>
            </w:pPr>
            <w:r>
              <w:t xml:space="preserve">Back Pressure Regulator</w:t>
            </w:r>
          </w:p>
        </w:tc>
        <w:tc>
          <w:tcPr/>
          <w:p>
            <w:pPr>
              <w:pStyle w:val="Compact"/>
              <w:jc w:val="left"/>
            </w:pPr>
            <w:r>
              <w:t xml:space="preserve">To maintain reservoir pressure</w:t>
            </w:r>
          </w:p>
        </w:tc>
        <w:tc>
          <w:tcPr/>
          <w:p>
            <w:pPr>
              <w:pStyle w:val="Compact"/>
              <w:jc w:val="left"/>
            </w:pPr>
            <w:r>
              <w:t xml:space="preserve">1</w:t>
            </w:r>
          </w:p>
        </w:tc>
      </w:tr>
      <w:tr>
        <w:tc>
          <w:tcPr/>
          <w:p>
            <w:pPr>
              <w:pStyle w:val="Compact"/>
              <w:jc w:val="left"/>
            </w:pPr>
            <w:r>
              <w:t xml:space="preserve">Surfactant Solution</w:t>
            </w:r>
          </w:p>
        </w:tc>
        <w:tc>
          <w:tcPr/>
          <w:p>
            <w:pPr>
              <w:pStyle w:val="Compact"/>
              <w:jc w:val="left"/>
            </w:pPr>
            <w:r>
              <w:t xml:space="preserve">Alcohol ethoxylate based, tailored for local brine chemistry</w:t>
            </w:r>
          </w:p>
        </w:tc>
        <w:tc>
          <w:tcPr/>
          <w:p>
            <w:pPr>
              <w:pStyle w:val="Compact"/>
              <w:jc w:val="left"/>
            </w:pPr>
            <w:r>
              <w:t xml:space="preserve">500 mL</w:t>
            </w:r>
          </w:p>
        </w:tc>
      </w:tr>
      <w:tr>
        <w:tc>
          <w:tcPr/>
          <w:p>
            <w:pPr>
              <w:pStyle w:val="Compact"/>
              <w:jc w:val="left"/>
            </w:pPr>
            <w:r>
              <w:t xml:space="preserve">Crude Oil</w:t>
            </w:r>
          </w:p>
        </w:tc>
        <w:tc>
          <w:tcPr/>
          <w:p>
            <w:pPr>
              <w:pStyle w:val="Compact"/>
              <w:jc w:val="left"/>
            </w:pPr>
            <w:r>
              <w:t xml:space="preserve">Representative of Sydney Basin crude (viscosity 10-50 cP)</w:t>
            </w:r>
          </w:p>
        </w:tc>
        <w:tc>
          <w:tcPr/>
          <w:p>
            <w:pPr>
              <w:pStyle w:val="Compact"/>
              <w:jc w:val="left"/>
            </w:pPr>
            <w:r>
              <w:t xml:space="preserve">500 mL</w:t>
            </w:r>
          </w:p>
        </w:tc>
      </w:tr>
      <w:tr>
        <w:tc>
          <w:tcPr/>
          <w:p>
            <w:pPr>
              <w:pStyle w:val="Compact"/>
              <w:jc w:val="left"/>
            </w:pPr>
            <w:r>
              <w:t xml:space="preserve">Synthetic Brine</w:t>
            </w:r>
          </w:p>
        </w:tc>
        <w:tc>
          <w:tcPr/>
          <w:p>
            <w:pPr>
              <w:pStyle w:val="Compact"/>
              <w:jc w:val="left"/>
            </w:pPr>
            <w:r>
              <w:t xml:space="preserve">Matching salinity of Sydney Basin formation water</w:t>
            </w:r>
          </w:p>
        </w:tc>
        <w:tc>
          <w:tcPr/>
          <w:p>
            <w:pPr>
              <w:pStyle w:val="Compact"/>
              <w:jc w:val="left"/>
            </w:pPr>
            <w:r>
              <w:t xml:space="preserve">1 L</w:t>
            </w:r>
          </w:p>
        </w:tc>
      </w:tr>
    </w:tbl>
    <w:bookmarkEnd w:id="24"/>
    <w:bookmarkStart w:id="30" w:name="experimental-procedure"/>
    <w:p>
      <w:pPr>
        <w:pStyle w:val="Heading2"/>
      </w:pPr>
      <w:r>
        <w:t xml:space="preserve">5. Experimental Procedure</w:t>
      </w:r>
    </w:p>
    <w:p>
      <w:pPr>
        <w:pStyle w:val="FirstParagraph"/>
      </w:pPr>
      <w:r>
        <w:t xml:space="preserve">The Petroleum Engineer must follow these steps precisely to ensure data integrity.</w:t>
      </w:r>
    </w:p>
    <w:bookmarkStart w:id="25" w:name="sample-preparation"/>
    <w:p>
      <w:pPr>
        <w:pStyle w:val="Heading3"/>
      </w:pPr>
      <w:r>
        <w:t xml:space="preserve">5.1. Sample Preparation</w:t>
      </w:r>
    </w:p>
    <w:p>
      <w:pPr>
        <w:numPr>
          <w:ilvl w:val="0"/>
          <w:numId w:val="1002"/>
        </w:numPr>
        <w:pStyle w:val="Compact"/>
      </w:pPr>
      <w:r>
        <w:t xml:space="preserve">Clean the sandstone core samples using toluene and methanol to remove existing hydrocarbons.</w:t>
      </w:r>
    </w:p>
    <w:p>
      <w:pPr>
        <w:numPr>
          <w:ilvl w:val="0"/>
          <w:numId w:val="1002"/>
        </w:numPr>
        <w:pStyle w:val="Compact"/>
      </w:pPr>
      <w:r>
        <w:t xml:space="preserve">Dry the cores in an oven at 60°C for 24 hours.</w:t>
      </w:r>
    </w:p>
    <w:p>
      <w:pPr>
        <w:numPr>
          <w:ilvl w:val="0"/>
          <w:numId w:val="1002"/>
        </w:numPr>
        <w:pStyle w:val="Compact"/>
      </w:pPr>
      <w:r>
        <w:t xml:space="preserve">Measure the initial porosity and permeability of each core using helium porosimetry.</w:t>
      </w:r>
    </w:p>
    <w:bookmarkEnd w:id="25"/>
    <w:bookmarkStart w:id="26" w:name="saturation"/>
    <w:p>
      <w:pPr>
        <w:pStyle w:val="Heading3"/>
      </w:pPr>
      <w:r>
        <w:t xml:space="preserve">5.2. Saturation</w:t>
      </w:r>
    </w:p>
    <w:p>
      <w:pPr>
        <w:numPr>
          <w:ilvl w:val="0"/>
          <w:numId w:val="1003"/>
        </w:numPr>
        <w:pStyle w:val="Compact"/>
      </w:pPr>
      <w:r>
        <w:t xml:space="preserve">Place the core in the core holder and apply confining pressure to simulate overburden stress of the Sydney Basin reservoir.</w:t>
      </w:r>
    </w:p>
    <w:p>
      <w:pPr>
        <w:numPr>
          <w:ilvl w:val="0"/>
          <w:numId w:val="1003"/>
        </w:numPr>
        <w:pStyle w:val="Compact"/>
      </w:pPr>
      <w:r>
        <w:t xml:space="preserve">Saturate the core with synthetic brine until 100% water saturation is achieved.</w:t>
      </w:r>
    </w:p>
    <w:p>
      <w:pPr>
        <w:numPr>
          <w:ilvl w:val="0"/>
          <w:numId w:val="1003"/>
        </w:numPr>
        <w:pStyle w:val="Compact"/>
      </w:pPr>
      <w:r>
        <w:t xml:space="preserve">Inject crude oil at a constant rate to establish residual water saturation (Swi).</w:t>
      </w:r>
    </w:p>
    <w:bookmarkEnd w:id="26"/>
    <w:bookmarkStart w:id="27" w:name="primary-recovery-water-flooding"/>
    <w:p>
      <w:pPr>
        <w:pStyle w:val="Heading3"/>
      </w:pPr>
      <w:r>
        <w:t xml:space="preserve">5.3. Primary Recovery (Water Flooding)</w:t>
      </w:r>
    </w:p>
    <w:p>
      <w:pPr>
        <w:numPr>
          <w:ilvl w:val="0"/>
          <w:numId w:val="1004"/>
        </w:numPr>
        <w:pStyle w:val="Compact"/>
      </w:pPr>
      <w:r>
        <w:t xml:space="preserve">Inject synthetic brine at a constant flow rate to simulate primary water flooding.</w:t>
      </w:r>
    </w:p>
    <w:p>
      <w:pPr>
        <w:numPr>
          <w:ilvl w:val="0"/>
          <w:numId w:val="1004"/>
        </w:numPr>
        <w:pStyle w:val="Compact"/>
      </w:pPr>
      <w:r>
        <w:t xml:space="preserve">Continue injection until breakthrough and until no more oil is produced.</w:t>
      </w:r>
    </w:p>
    <w:p>
      <w:pPr>
        <w:numPr>
          <w:ilvl w:val="0"/>
          <w:numId w:val="1004"/>
        </w:numPr>
        <w:pStyle w:val="Compact"/>
      </w:pPr>
      <w:r>
        <w:t xml:space="preserve">Record the volume of oil and water produced to calculate recovery factor.</w:t>
      </w:r>
    </w:p>
    <w:bookmarkEnd w:id="27"/>
    <w:bookmarkStart w:id="28" w:name="enhanced-oil-recovery-chemical-flooding"/>
    <w:p>
      <w:pPr>
        <w:pStyle w:val="Heading3"/>
      </w:pPr>
      <w:r>
        <w:t xml:space="preserve">5.4. Enhanced Oil Recovery (Chemical Flooding)</w:t>
      </w:r>
    </w:p>
    <w:p>
      <w:pPr>
        <w:numPr>
          <w:ilvl w:val="0"/>
          <w:numId w:val="1005"/>
        </w:numPr>
        <w:pStyle w:val="Compact"/>
      </w:pPr>
      <w:r>
        <w:t xml:space="preserve">Prepare the surfactant solution with varying concentrations (0.1%, 0.5%, 1.0%).</w:t>
      </w:r>
    </w:p>
    <w:p>
      <w:pPr>
        <w:numPr>
          <w:ilvl w:val="0"/>
          <w:numId w:val="1005"/>
        </w:numPr>
        <w:pStyle w:val="Compact"/>
      </w:pPr>
      <w:r>
        <w:t xml:space="preserve">Inject the surfactant solution at the same flow rate as the water flooding stage.</w:t>
      </w:r>
    </w:p>
    <w:p>
      <w:pPr>
        <w:numPr>
          <w:ilvl w:val="0"/>
          <w:numId w:val="1005"/>
        </w:numPr>
        <w:pStyle w:val="Compact"/>
      </w:pPr>
      <w:r>
        <w:t xml:space="preserve">Monitor pressure drop across the core and produced fluid composition.</w:t>
      </w:r>
    </w:p>
    <w:p>
      <w:pPr>
        <w:numPr>
          <w:ilvl w:val="0"/>
          <w:numId w:val="1005"/>
        </w:numPr>
        <w:pStyle w:val="Compact"/>
      </w:pPr>
      <w:r>
        <w:t xml:space="preserve">Continue injection until breakthrough and until production stabilizes.</w:t>
      </w:r>
    </w:p>
    <w:bookmarkEnd w:id="28"/>
    <w:bookmarkStart w:id="29" w:name="data-collection"/>
    <w:p>
      <w:pPr>
        <w:pStyle w:val="Heading3"/>
      </w:pPr>
      <w:r>
        <w:t xml:space="preserve">5.5. Data Collection</w:t>
      </w:r>
    </w:p>
    <w:p>
      <w:pPr>
        <w:numPr>
          <w:ilvl w:val="0"/>
          <w:numId w:val="1006"/>
        </w:numPr>
        <w:pStyle w:val="Compact"/>
      </w:pPr>
      <w:r>
        <w:t xml:space="preserve">Record cumulative oil production, water production, and pressure drop at regular intervals.</w:t>
      </w:r>
    </w:p>
    <w:p>
      <w:pPr>
        <w:numPr>
          <w:ilvl w:val="0"/>
          <w:numId w:val="1006"/>
        </w:numPr>
        <w:pStyle w:val="Compact"/>
      </w:pPr>
      <w:r>
        <w:t xml:space="preserve">Analyze produced fluids for surfactant concentration and oil content.</w:t>
      </w:r>
    </w:p>
    <w:bookmarkEnd w:id="29"/>
    <w:bookmarkEnd w:id="30"/>
    <w:bookmarkStart w:id="31" w:name="data-analysis"/>
    <w:p>
      <w:pPr>
        <w:pStyle w:val="Heading2"/>
      </w:pPr>
      <w:r>
        <w:t xml:space="preserve">6. Data Analysis</w:t>
      </w:r>
    </w:p>
    <w:p>
      <w:pPr>
        <w:pStyle w:val="FirstParagraph"/>
      </w:pPr>
      <w:r>
        <w:t xml:space="preserve">The Petroleum Engineer will analyze the data to determine:</w:t>
      </w:r>
    </w:p>
    <w:p>
      <w:pPr>
        <w:numPr>
          <w:ilvl w:val="0"/>
          <w:numId w:val="1007"/>
        </w:numPr>
        <w:pStyle w:val="Compact"/>
      </w:pPr>
      <w:r>
        <w:rPr>
          <w:bCs/>
          <w:b/>
        </w:rPr>
        <w:t xml:space="preserve">Recovery Factor:</w:t>
      </w:r>
      <w:r>
        <w:t xml:space="preserve"> </w:t>
      </w:r>
      <w:r>
        <w:t xml:space="preserve">The percentage of original oil in place (OOIP) recovered by each method.</w:t>
      </w:r>
    </w:p>
    <w:p>
      <w:pPr>
        <w:numPr>
          <w:ilvl w:val="0"/>
          <w:numId w:val="1007"/>
        </w:numPr>
        <w:pStyle w:val="Compact"/>
      </w:pPr>
      <w:r>
        <w:rPr>
          <w:bCs/>
          <w:b/>
        </w:rPr>
        <w:t xml:space="preserve">Interfacial Tension:</w:t>
      </w:r>
      <w:r>
        <w:t xml:space="preserve"> </w:t>
      </w:r>
      <w:r>
        <w:t xml:space="preserve">The effectiveness of the surfactant in reducing interfacial tension.</w:t>
      </w:r>
    </w:p>
    <w:p>
      <w:pPr>
        <w:numPr>
          <w:ilvl w:val="0"/>
          <w:numId w:val="1007"/>
        </w:numPr>
        <w:pStyle w:val="Compact"/>
      </w:pPr>
      <w:r>
        <w:rPr>
          <w:bCs/>
          <w:b/>
        </w:rPr>
        <w:t xml:space="preserve">Relative Permeability:</w:t>
      </w:r>
      <w:r>
        <w:t xml:space="preserve"> </w:t>
      </w:r>
      <w:r>
        <w:t xml:space="preserve">Changes in relative permeability curves due to chemical flooding.</w:t>
      </w:r>
    </w:p>
    <w:p>
      <w:pPr>
        <w:pStyle w:val="FirstParagraph"/>
      </w:pPr>
      <w:r>
        <w:t xml:space="preserve">Results will be compared against baseline data from previous studies in the Sydney Basin to assess the viability of the EOR technique for commercial application.</w:t>
      </w:r>
    </w:p>
    <w:bookmarkEnd w:id="31"/>
    <w:bookmarkStart w:id="32" w:name="conclusion-and-reporting"/>
    <w:p>
      <w:pPr>
        <w:pStyle w:val="Heading2"/>
      </w:pPr>
      <w:r>
        <w:t xml:space="preserve">7. Conclusion and Reporting</w:t>
      </w:r>
    </w:p>
    <w:p>
      <w:pPr>
        <w:pStyle w:val="FirstParagraph"/>
      </w:pPr>
      <w:r>
        <w:t xml:space="preserve">A comprehensive report will be generated detailing the experimental setup, results, and recommendations. This report will be submitted to the relevant stakeholders in Australia Sydney, including regulatory bodies and industry partners. The findings will contribute to the sustainable development of petroleum resources in the region, aligning with national energy goals.</w:t>
      </w:r>
    </w:p>
    <w:bookmarkEnd w:id="32"/>
    <w:p>
      <w:pPr>
        <w:pStyle w:val="BodyText"/>
      </w:pPr>
      <w:r>
        <w:rPr>
          <w:bCs/>
          <w:b/>
        </w:rPr>
        <w:t xml:space="preserve">Disclaimer:</w:t>
      </w:r>
      <w:r>
        <w:t xml:space="preserve"> </w:t>
      </w:r>
      <w:r>
        <w:t xml:space="preserve">This document is for educational and professional use only. All experiments must be conducted under the supervision of a qualified Petroleum Engineer and in compliance with local laws and regulations in Australia.</w:t>
      </w:r>
    </w:p>
    <w:p>
      <w:pPr>
        <w:pStyle w:val="BodyText"/>
      </w:pPr>
      <w:r>
        <w:t xml:space="preserve">© 2023 Petroleum Engineering Research Division, Sydney,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Sydney Basin Sandstone</dc:title>
  <dc:creator/>
  <dc:language>en</dc:language>
  <cp:keywords/>
  <dcterms:created xsi:type="dcterms:W3CDTF">2026-10-10T02:39:39Z</dcterms:created>
  <dcterms:modified xsi:type="dcterms:W3CDTF">2026-10-10T02:39:39Z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