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w:t>
      </w:r>
      <w:r>
        <w:t xml:space="preserve"> </w:t>
      </w:r>
      <w:r>
        <w:t xml:space="preserve">-</w:t>
      </w:r>
      <w:r>
        <w:t xml:space="preserve"> </w:t>
      </w:r>
      <w:r>
        <w:t xml:space="preserve">Brussels,</w:t>
      </w:r>
      <w:r>
        <w:t xml:space="preserve"> </w:t>
      </w:r>
      <w:r>
        <w:t xml:space="preserve">Belgium</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Reservoir Simulation and Enhanced Oil Recovery (EOR) Feasibility Study</w:t>
      </w:r>
    </w:p>
    <w:p>
      <w:pPr>
        <w:pStyle w:val="BodyText"/>
      </w:pPr>
      <w:r>
        <w:rPr>
          <w:bCs/>
          <w:b/>
        </w:rPr>
        <w:t xml:space="preserve">Location:</w:t>
      </w:r>
      <w:r>
        <w:t xml:space="preserve"> </w:t>
      </w:r>
      <w:r>
        <w:t xml:space="preserve">Brussels, Belgium</w:t>
      </w:r>
    </w:p>
    <w:p>
      <w:pPr>
        <w:pStyle w:val="BodyText"/>
      </w:pPr>
      <w:r>
        <w:rPr>
          <w:bCs/>
          <w:b/>
        </w:rPr>
        <w:t xml:space="preserve">Discipline:</w:t>
      </w:r>
      <w:r>
        <w:t xml:space="preserve"> </w:t>
      </w:r>
      <w:r>
        <w:t xml:space="preserve">Petroleum Engineering</w:t>
      </w:r>
    </w:p>
    <w:p>
      <w:pPr>
        <w:pStyle w:val="BodyText"/>
      </w:pPr>
      <w:r>
        <w:rPr>
          <w:bCs/>
          <w:b/>
        </w:rPr>
        <w:t xml:space="preserve">Protocol ID:</w:t>
      </w:r>
      <w:r>
        <w:t xml:space="preserve"> </w:t>
      </w:r>
      <w:r>
        <w:t xml:space="preserve">BE-BRU-PE-2023-004</w:t>
      </w:r>
    </w:p>
    <w:p>
      <w:pPr>
        <w:pStyle w:val="BodyText"/>
      </w:pPr>
      <w:r>
        <w:rPr>
          <w:bCs/>
          <w:b/>
        </w:rPr>
        <w:t xml:space="preserve">Date:</w:t>
      </w:r>
      <w:r>
        <w:t xml:space="preserve"> </w:t>
      </w:r>
      <w:r>
        <w:t xml:space="preserve">October 24, 2023</w:t>
      </w:r>
    </w:p>
    <w:bookmarkEnd w:id="20"/>
    <w:p>
      <w:pPr>
        <w:pStyle w:val="BodyText"/>
      </w:pPr>
      <w:r>
        <w:t xml:space="preserve">1. Introduction and Objective</w:t>
      </w:r>
    </w:p>
    <w:p>
      <w:pPr>
        <w:pStyle w:val="BodyText"/>
      </w:pPr>
      <w:r>
        <w:t xml:space="preserve">This Experiment Protocol outlines the methodology, safety procedures, and technical requirements for a controlled laboratory experiment conducted by a Petroleum Engineer in Brussels, Belgium. The primary objective is to evaluate the efficiency of a novel surfactant-based Enhanced Oil Recovery (EOR) technique on North Sea-type reservoir rock samples. Given Brussels' role as a hub for European energy policy and research, this experiment aligns with the European Union's strategic goals for maximizing resource efficiency while adhering to strict environmental standards.</w:t>
      </w:r>
    </w:p>
    <w:p>
      <w:pPr>
        <w:pStyle w:val="BodyText"/>
      </w:pPr>
      <w:r>
        <w:t xml:space="preserve">The Petroleum Engineer leading this study aims to quantify the incremental oil recovery factor achievable through low-salinity water flooding combined with chemical additives. The results will contribute to optimizing production strategies for mature fields in the North Sea, ensuring compliance with Belgian and EU regulations regarding hydrocarbon extraction and waste management.</w:t>
      </w:r>
    </w:p>
    <w:p>
      <w:pPr>
        <w:pStyle w:val="BodyText"/>
      </w:pPr>
      <w:r>
        <w:t xml:space="preserve">2. Scope and Regulatory Compliance</w:t>
      </w:r>
    </w:p>
    <w:p>
      <w:pPr>
        <w:pStyle w:val="BodyText"/>
      </w:pPr>
      <w:r>
        <w:t xml:space="preserve">This experiment is strictly confined to the laboratory facilities located in Brussels. It involves the handling of core samples, synthetic brines, and hydrocarbons. The Petroleum Engineer must ensure full compliance with the following regulatory frameworks applicable in Belgium:</w:t>
      </w:r>
    </w:p>
    <w:p>
      <w:pPr>
        <w:numPr>
          <w:ilvl w:val="0"/>
          <w:numId w:val="1001"/>
        </w:numPr>
        <w:pStyle w:val="Compact"/>
      </w:pPr>
      <w:r>
        <w:rPr>
          <w:bCs/>
          <w:b/>
        </w:rPr>
        <w:t xml:space="preserve">Belgian Royal Decree on the Protection of Workers against Risks Related to Chemical Agents:</w:t>
      </w:r>
      <w:r>
        <w:t xml:space="preserve"> </w:t>
      </w:r>
      <w:r>
        <w:t xml:space="preserve">Ensuring proper handling of surfactants and solvents.</w:t>
      </w:r>
    </w:p>
    <w:p>
      <w:pPr>
        <w:numPr>
          <w:ilvl w:val="0"/>
          <w:numId w:val="1001"/>
        </w:numPr>
        <w:pStyle w:val="Compact"/>
      </w:pPr>
      <w:r>
        <w:rPr>
          <w:bCs/>
          <w:b/>
        </w:rPr>
        <w:t xml:space="preserve">REACH Regulation (EC) No 1907/2006:</w:t>
      </w:r>
      <w:r>
        <w:t xml:space="preserve"> </w:t>
      </w:r>
      <w:r>
        <w:t xml:space="preserve">Managing the registration, evaluation, authorization, and restriction of chemicals used in the experiment.</w:t>
      </w:r>
    </w:p>
    <w:p>
      <w:pPr>
        <w:numPr>
          <w:ilvl w:val="0"/>
          <w:numId w:val="1001"/>
        </w:numPr>
        <w:pStyle w:val="Compact"/>
      </w:pPr>
      <w:r>
        <w:rPr>
          <w:bCs/>
          <w:b/>
        </w:rPr>
        <w:t xml:space="preserve">Brussels Regional Environmental Code:</w:t>
      </w:r>
      <w:r>
        <w:t xml:space="preserve"> </w:t>
      </w:r>
      <w:r>
        <w:t xml:space="preserve">Governing the disposal of liquid waste and hazardous materials generated during the core flooding process.</w:t>
      </w:r>
    </w:p>
    <w:p>
      <w:pPr>
        <w:pStyle w:val="FirstParagraph"/>
      </w:pPr>
      <w:r>
        <w:t xml:space="preserve">The protocol emphasizes the reduction of environmental impact, reflecting the high environmental standards expected in Brussels. All waste streams will be segregated and disposed of through certified hazardous waste management facilities within the Brussels-Capital Region.</w:t>
      </w:r>
    </w:p>
    <w:p>
      <w:pPr>
        <w:pStyle w:val="BodyText"/>
      </w:pPr>
      <w:r>
        <w:t xml:space="preserve">3. Materials and Equipment</w:t>
      </w:r>
    </w:p>
    <w:p>
      <w:pPr>
        <w:pStyle w:val="BodyText"/>
      </w:pPr>
      <w:r>
        <w:t xml:space="preserve">The Petroleum Engineer shall utilize the following equipment and materials, all of which must be calibrated and certified prior to the start of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Core Flooding Apparatus</w:t>
            </w:r>
          </w:p>
        </w:tc>
        <w:tc>
          <w:tcPr/>
          <w:p>
            <w:pPr>
              <w:pStyle w:val="Compact"/>
              <w:jc w:val="left"/>
            </w:pPr>
            <w:r>
              <w:t xml:space="preserve">High-pressure, high-temperature (HPHT) capable up to 1000 psi and 150°C</w:t>
            </w:r>
          </w:p>
        </w:tc>
        <w:tc>
          <w:tcPr/>
          <w:p>
            <w:pPr>
              <w:pStyle w:val="Compact"/>
              <w:jc w:val="left"/>
            </w:pPr>
            <w:r>
              <w:t xml:space="preserve">1 Unit</w:t>
            </w:r>
          </w:p>
        </w:tc>
      </w:tr>
      <w:tr>
        <w:tc>
          <w:tcPr/>
          <w:p>
            <w:pPr>
              <w:pStyle w:val="Compact"/>
              <w:jc w:val="left"/>
            </w:pPr>
            <w:r>
              <w:t xml:space="preserve">Reservoir Core Samples</w:t>
            </w:r>
          </w:p>
        </w:tc>
        <w:tc>
          <w:tcPr/>
          <w:p>
            <w:pPr>
              <w:pStyle w:val="Compact"/>
              <w:jc w:val="left"/>
            </w:pPr>
            <w:r>
              <w:t xml:space="preserve">Sandstone plugs, 2.5 cm diameter, 5 cm length, sourced from North Sea analogs</w:t>
            </w:r>
          </w:p>
        </w:tc>
        <w:tc>
          <w:tcPr/>
          <w:p>
            <w:pPr>
              <w:pStyle w:val="Compact"/>
              <w:jc w:val="left"/>
            </w:pPr>
            <w:r>
              <w:t xml:space="preserve">3 Samples</w:t>
            </w:r>
          </w:p>
        </w:tc>
      </w:tr>
      <w:tr>
        <w:tc>
          <w:tcPr/>
          <w:p>
            <w:pPr>
              <w:pStyle w:val="Compact"/>
              <w:jc w:val="left"/>
            </w:pPr>
            <w:r>
              <w:t xml:space="preserve">Synthetic Brine</w:t>
            </w:r>
          </w:p>
        </w:tc>
        <w:tc>
          <w:tcPr/>
          <w:p>
            <w:pPr>
              <w:pStyle w:val="Compact"/>
              <w:jc w:val="left"/>
            </w:pPr>
            <w:r>
              <w:t xml:space="preserve">Formulated to match reservoir salinity (150,000 ppm TDS)</w:t>
            </w:r>
          </w:p>
        </w:tc>
        <w:tc>
          <w:tcPr/>
          <w:p>
            <w:pPr>
              <w:pStyle w:val="Compact"/>
              <w:jc w:val="left"/>
            </w:pPr>
            <w:r>
              <w:t xml:space="preserve">5 Liters</w:t>
            </w:r>
          </w:p>
        </w:tc>
      </w:tr>
      <w:tr>
        <w:tc>
          <w:tcPr/>
          <w:p>
            <w:pPr>
              <w:pStyle w:val="Compact"/>
              <w:jc w:val="left"/>
            </w:pPr>
            <w:r>
              <w:t xml:space="preserve">Surfactant Solution</w:t>
            </w:r>
          </w:p>
        </w:tc>
        <w:tc>
          <w:tcPr/>
          <w:p>
            <w:pPr>
              <w:pStyle w:val="Compact"/>
              <w:jc w:val="left"/>
            </w:pPr>
            <w:r>
              <w:t xml:space="preserve">Non-ionic surfactant, concentration 0.5 wt%</w:t>
            </w:r>
          </w:p>
        </w:tc>
        <w:tc>
          <w:tcPr/>
          <w:p>
            <w:pPr>
              <w:pStyle w:val="Compact"/>
              <w:jc w:val="left"/>
            </w:pPr>
            <w:r>
              <w:t xml:space="preserve">2 Liters</w:t>
            </w:r>
          </w:p>
        </w:tc>
      </w:tr>
      <w:tr>
        <w:tc>
          <w:tcPr/>
          <w:p>
            <w:pPr>
              <w:pStyle w:val="Compact"/>
              <w:jc w:val="left"/>
            </w:pPr>
            <w:r>
              <w:t xml:space="preserve">Dead Oil</w:t>
            </w:r>
          </w:p>
        </w:tc>
        <w:tc>
          <w:tcPr/>
          <w:p>
            <w:pPr>
              <w:pStyle w:val="Compact"/>
              <w:jc w:val="left"/>
            </w:pPr>
            <w:r>
              <w:t xml:space="preserve">Viscosity 5 cP at reservoir temperature</w:t>
            </w:r>
          </w:p>
        </w:tc>
        <w:tc>
          <w:tcPr/>
          <w:p>
            <w:pPr>
              <w:pStyle w:val="Compact"/>
              <w:jc w:val="left"/>
            </w:pPr>
            <w:r>
              <w:t xml:space="preserve">1 Liter</w:t>
            </w:r>
          </w:p>
        </w:tc>
      </w:tr>
      <w:tr>
        <w:tc>
          <w:tcPr/>
          <w:p>
            <w:pPr>
              <w:pStyle w:val="Compact"/>
              <w:jc w:val="left"/>
            </w:pPr>
            <w:r>
              <w:t xml:space="preserve">Pressure Transducers</w:t>
            </w:r>
          </w:p>
        </w:tc>
        <w:tc>
          <w:tcPr/>
          <w:p>
            <w:pPr>
              <w:pStyle w:val="Compact"/>
              <w:jc w:val="left"/>
            </w:pPr>
            <w:r>
              <w:t xml:space="preserve">Accuracy ±0.1% of full scale</w:t>
            </w:r>
          </w:p>
        </w:tc>
        <w:tc>
          <w:tcPr/>
          <w:p>
            <w:pPr>
              <w:pStyle w:val="Compact"/>
              <w:jc w:val="left"/>
            </w:pPr>
            <w:r>
              <w:t xml:space="preserve">2 Units</w:t>
            </w:r>
          </w:p>
        </w:tc>
      </w:tr>
    </w:tbl>
    <w:p>
      <w:pPr>
        <w:pStyle w:val="BodyText"/>
      </w:pPr>
      <w:r>
        <w:t xml:space="preserve">4. Experimental Procedure</w:t>
      </w:r>
    </w:p>
    <w:p>
      <w:pPr>
        <w:pStyle w:val="BodyText"/>
      </w:pPr>
      <w:r>
        <w:t xml:space="preserve">The Petroleum Engineer will execute the following steps in a controlled laboratory environment in Brussels:</w:t>
      </w:r>
    </w:p>
    <w:p>
      <w:pPr>
        <w:numPr>
          <w:ilvl w:val="0"/>
          <w:numId w:val="1002"/>
        </w:numPr>
        <w:pStyle w:val="Compact"/>
      </w:pPr>
      <w:r>
        <w:rPr>
          <w:bCs/>
          <w:b/>
        </w:rPr>
        <w:t xml:space="preserve">Sample Preparation:</w:t>
      </w:r>
      <w:r>
        <w:t xml:space="preserve"> </w:t>
      </w:r>
      <w:r>
        <w:t xml:space="preserve">Clean the core samples using toluene and methanol to remove residual hydrocarbons. Dry the samples in an oven at 60°C for 24 hours. Measure the dry weight and porosity using helium porosimetry.</w:t>
      </w:r>
    </w:p>
    <w:p>
      <w:pPr>
        <w:numPr>
          <w:ilvl w:val="0"/>
          <w:numId w:val="1002"/>
        </w:numPr>
        <w:pStyle w:val="Compact"/>
      </w:pPr>
      <w:r>
        <w:rPr>
          <w:bCs/>
          <w:b/>
        </w:rPr>
        <w:t xml:space="preserve">Saturation:</w:t>
      </w:r>
      <w:r>
        <w:t xml:space="preserve"> </w:t>
      </w:r>
      <w:r>
        <w:t xml:space="preserve">Saturate the core samples with synthetic brine under vacuum for 12 hours. Subsequently, displace the brine with dead oil to establish initial oil saturation (Sor).</w:t>
      </w:r>
    </w:p>
    <w:p>
      <w:pPr>
        <w:numPr>
          <w:ilvl w:val="0"/>
          <w:numId w:val="1002"/>
        </w:numPr>
        <w:pStyle w:val="Compact"/>
      </w:pPr>
      <w:r>
        <w:rPr>
          <w:bCs/>
          <w:b/>
        </w:rPr>
        <w:t xml:space="preserve">Primary Recovery:</w:t>
      </w:r>
      <w:r>
        <w:t xml:space="preserve"> </w:t>
      </w:r>
      <w:r>
        <w:t xml:space="preserve">Inject synthetic brine at a constant flow rate of 1 cm³/min until water breakthrough is observed. Record the pressure drop across the core and the volume of oil produced.</w:t>
      </w:r>
    </w:p>
    <w:p>
      <w:pPr>
        <w:numPr>
          <w:ilvl w:val="0"/>
          <w:numId w:val="1002"/>
        </w:numPr>
        <w:pStyle w:val="Compact"/>
      </w:pPr>
      <w:r>
        <w:rPr>
          <w:bCs/>
          <w:b/>
        </w:rPr>
        <w:t xml:space="preserve">EOR Stage:</w:t>
      </w:r>
      <w:r>
        <w:t xml:space="preserve"> </w:t>
      </w:r>
      <w:r>
        <w:t xml:space="preserve">Inject the surfactant solution at the same flow rate. Monitor the pressure response and oil production rate. Continue injection until 2 pore volumes (PV) of surfactant solution have been injected.</w:t>
      </w:r>
    </w:p>
    <w:p>
      <w:pPr>
        <w:numPr>
          <w:ilvl w:val="0"/>
          <w:numId w:val="1002"/>
        </w:numPr>
        <w:pStyle w:val="Compact"/>
      </w:pPr>
      <w:r>
        <w:rPr>
          <w:bCs/>
          <w:b/>
        </w:rPr>
        <w:t xml:space="preserve">Flush Stage:</w:t>
      </w:r>
      <w:r>
        <w:t xml:space="preserve"> </w:t>
      </w:r>
      <w:r>
        <w:t xml:space="preserve">Follow the surfactant injection with a chase water flood using low-salinity brine to push the remaining oil. Continue until no more oil is produced.</w:t>
      </w:r>
    </w:p>
    <w:p>
      <w:pPr>
        <w:numPr>
          <w:ilvl w:val="0"/>
          <w:numId w:val="1002"/>
        </w:numPr>
        <w:pStyle w:val="Compact"/>
      </w:pPr>
      <w:r>
        <w:rPr>
          <w:bCs/>
          <w:b/>
        </w:rPr>
        <w:t xml:space="preserve">Data Collection:</w:t>
      </w:r>
      <w:r>
        <w:t xml:space="preserve"> </w:t>
      </w:r>
      <w:r>
        <w:t xml:space="preserve">Continuously record pressure, temperature, and production data using automated data acquisition systems. Ensure all data is stored securely in compliance with Belgian data protection laws (GDPR).</w:t>
      </w:r>
    </w:p>
    <w:p>
      <w:pPr>
        <w:pStyle w:val="FirstParagraph"/>
      </w:pPr>
      <w:r>
        <w:t xml:space="preserve">5. Safety and Risk Management</w:t>
      </w:r>
    </w:p>
    <w:p>
      <w:pPr>
        <w:pStyle w:val="BodyText"/>
      </w:pPr>
      <w:r>
        <w:t xml:space="preserve">Safety is paramount in this experiment. The Petroleum Engineer must adhere to the following safety protocols:</w:t>
      </w:r>
    </w:p>
    <w:p>
      <w:pPr>
        <w:numPr>
          <w:ilvl w:val="0"/>
          <w:numId w:val="1003"/>
        </w:numPr>
        <w:pStyle w:val="Compact"/>
      </w:pPr>
      <w:r>
        <w:rPr>
          <w:bCs/>
          <w:b/>
        </w:rPr>
        <w:t xml:space="preserve">Personal Protective Equipment (PPE):</w:t>
      </w:r>
      <w:r>
        <w:t xml:space="preserve"> </w:t>
      </w:r>
      <w:r>
        <w:t xml:space="preserve">Lab coat, safety goggles, nitrile gloves, and closed-toe shoes are mandatory. Face shields should be worn during high-pressure operations.</w:t>
      </w:r>
    </w:p>
    <w:p>
      <w:pPr>
        <w:numPr>
          <w:ilvl w:val="0"/>
          <w:numId w:val="1003"/>
        </w:numPr>
        <w:pStyle w:val="Compact"/>
      </w:pPr>
      <w:r>
        <w:rPr>
          <w:bCs/>
          <w:b/>
        </w:rPr>
        <w:t xml:space="preserve">Chemical Handling:</w:t>
      </w:r>
      <w:r>
        <w:t xml:space="preserve"> </w:t>
      </w:r>
      <w:r>
        <w:t xml:space="preserve">All chemicals must be handled in a fume hood to prevent inhalation of vapors. Safety Data Sheets (SDS) for all chemicals must be readily available in the laboratory.</w:t>
      </w:r>
    </w:p>
    <w:p>
      <w:pPr>
        <w:numPr>
          <w:ilvl w:val="0"/>
          <w:numId w:val="1003"/>
        </w:numPr>
        <w:pStyle w:val="Compact"/>
      </w:pPr>
      <w:r>
        <w:rPr>
          <w:bCs/>
          <w:b/>
        </w:rPr>
        <w:t xml:space="preserve">Pressure Safety:</w:t>
      </w:r>
      <w:r>
        <w:t xml:space="preserve"> </w:t>
      </w:r>
      <w:r>
        <w:t xml:space="preserve">The core flooding apparatus must be equipped with pressure relief valves. Regular inspections of high-pressure lines and fittings are required to prevent leaks or ruptures.</w:t>
      </w:r>
    </w:p>
    <w:p>
      <w:pPr>
        <w:numPr>
          <w:ilvl w:val="0"/>
          <w:numId w:val="1003"/>
        </w:numPr>
        <w:pStyle w:val="Compact"/>
      </w:pPr>
      <w:r>
        <w:rPr>
          <w:bCs/>
          <w:b/>
        </w:rPr>
        <w:t xml:space="preserve">Emergency Procedures:</w:t>
      </w:r>
      <w:r>
        <w:t xml:space="preserve"> </w:t>
      </w:r>
      <w:r>
        <w:t xml:space="preserve">In case of a spill or leak, the Petroleum Engineer must immediately shut off the equipment, contain the spill using absorbent materials, and report the incident to the laboratory supervisor. Emergency showers and eyewash stations must be accessible.</w:t>
      </w:r>
    </w:p>
    <w:p>
      <w:pPr>
        <w:pStyle w:val="FirstParagraph"/>
      </w:pPr>
      <w:r>
        <w:t xml:space="preserve">6. Data Analysis and Reporting</w:t>
      </w:r>
    </w:p>
    <w:p>
      <w:pPr>
        <w:pStyle w:val="BodyText"/>
      </w:pPr>
      <w:r>
        <w:t xml:space="preserve">Upon completion of the experiment, the Petroleum Engineer will analyze the collected data to determine the incremental oil recovery factor achieved by the EOR technique. The analysis will include:</w:t>
      </w:r>
    </w:p>
    <w:p>
      <w:pPr>
        <w:numPr>
          <w:ilvl w:val="0"/>
          <w:numId w:val="1004"/>
        </w:numPr>
        <w:pStyle w:val="Compact"/>
      </w:pPr>
      <w:r>
        <w:t xml:space="preserve">Calculation of relative permeability curves for oil and water phases.</w:t>
      </w:r>
    </w:p>
    <w:p>
      <w:pPr>
        <w:numPr>
          <w:ilvl w:val="0"/>
          <w:numId w:val="1004"/>
        </w:numPr>
        <w:pStyle w:val="Compact"/>
      </w:pPr>
      <w:r>
        <w:t xml:space="preserve">Evaluation of the impact of surfactant concentration on interfacial tension and oil displacement efficiency.</w:t>
      </w:r>
    </w:p>
    <w:p>
      <w:pPr>
        <w:numPr>
          <w:ilvl w:val="0"/>
          <w:numId w:val="1004"/>
        </w:numPr>
        <w:pStyle w:val="Compact"/>
      </w:pPr>
      <w:r>
        <w:t xml:space="preserve">Comparison of results with baseline data from primary recovery.</w:t>
      </w:r>
    </w:p>
    <w:p>
      <w:pPr>
        <w:pStyle w:val="FirstParagraph"/>
      </w:pPr>
      <w:r>
        <w:t xml:space="preserve">A comprehensive report will be prepared, detailing the methodology, results, and conclusions. The report will be submitted to the project stakeholders and archived in accordance with Belgian research documentation standards. The findings will be used to inform future field trials and contribute to the broader understanding of EOR technologies in the context of European energy security.</w:t>
      </w:r>
    </w:p>
    <w:p>
      <w:pPr>
        <w:pStyle w:val="BodyText"/>
      </w:pPr>
      <w:r>
        <w:t xml:space="preserve">7. Approval and Signatures</w:t>
      </w:r>
    </w:p>
    <w:p>
      <w:pPr>
        <w:pStyle w:val="BodyText"/>
      </w:pPr>
      <w:r>
        <w:t xml:space="preserve">This Experiment Protocol has been reviewed and approved by the relevant authorities. The Petroleum Engineer acknowledges responsibility for the safe and accurate execution of this experiment in Brussels, Belgium.</w:t>
      </w:r>
    </w:p>
    <w:p>
      <w:pPr>
        <w:pStyle w:val="BodyText"/>
      </w:pPr>
      <w:r>
        <w:rPr>
          <w:bCs/>
          <w:b/>
        </w:rPr>
        <w:t xml:space="preserve">Petroleum Engineer:</w:t>
      </w:r>
    </w:p>
    <w:p>
      <w:pPr>
        <w:pStyle w:val="BodyText"/>
      </w:pPr>
      <w:r>
        <w:t xml:space="preserve">Name: _________________________</w:t>
      </w:r>
    </w:p>
    <w:p>
      <w:pPr>
        <w:pStyle w:val="BodyText"/>
      </w:pPr>
      <w:r>
        <w:t xml:space="preserve">Date: _________________________</w:t>
      </w:r>
    </w:p>
    <w:p>
      <w:pPr>
        <w:pStyle w:val="BodyText"/>
      </w:pPr>
      <w:r>
        <w:rPr>
          <w:bCs/>
          <w:b/>
        </w:rPr>
        <w:t xml:space="preserve">Laboratory Supervisor:</w:t>
      </w:r>
    </w:p>
    <w:p>
      <w:pPr>
        <w:pStyle w:val="BodyText"/>
      </w:pPr>
      <w:r>
        <w:t xml:space="preserve">Name: _________________________</w:t>
      </w:r>
    </w:p>
    <w:p>
      <w:pPr>
        <w:pStyle w:val="BodyText"/>
      </w:pPr>
      <w:r>
        <w:t xml:space="preserve">Date: _________________________</w:t>
      </w:r>
    </w:p>
    <w:p>
      <w:pPr>
        <w:pStyle w:val="BodyText"/>
      </w:pPr>
      <w:r>
        <w:rPr>
          <w:bCs/>
          <w:b/>
        </w:rPr>
        <w:t xml:space="preserve">Safety Officer:</w:t>
      </w:r>
    </w:p>
    <w:p>
      <w:pPr>
        <w:pStyle w:val="BodyText"/>
      </w:pPr>
      <w:r>
        <w:t xml:space="preserve">Name: _________________________</w:t>
      </w:r>
    </w:p>
    <w:p>
      <w:pPr>
        <w:pStyle w:val="BodyText"/>
      </w:pPr>
      <w:r>
        <w:t xml:space="preserve">Date: 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 - Brussels, Belgium</dc:title>
  <dc:creator/>
  <dc:language>en</dc:language>
  <cp:keywords/>
  <dcterms:created xsi:type="dcterms:W3CDTF">2026-10-10T05:04:11Z</dcterms:created>
  <dcterms:modified xsi:type="dcterms:W3CDTF">2026-10-10T05:04:11Z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