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Tight</w:t>
      </w:r>
      <w:r>
        <w:t xml:space="preserve"> </w:t>
      </w:r>
      <w:r>
        <w:t xml:space="preserve">Carbonate</w:t>
      </w:r>
      <w:r>
        <w:t xml:space="preserve"> </w:t>
      </w:r>
      <w:r>
        <w:t xml:space="preserve">Formations</w:t>
      </w:r>
    </w:p>
    <w:bookmarkStart w:id="20" w:name="X265b7fa03c1835e85cf0752d0c54b147e2eb5cf"/>
    <w:p>
      <w:pPr>
        <w:pStyle w:val="Heading1"/>
      </w:pPr>
      <w:r>
        <w:t xml:space="preserve">Experiment Protocol: Enhanced Oil Recovery in Tight Carbonate Formations</w:t>
      </w:r>
    </w:p>
    <w:p>
      <w:pPr>
        <w:pStyle w:val="FirstParagraph"/>
      </w:pPr>
      <w:r>
        <w:rPr>
          <w:bCs/>
          <w:b/>
        </w:rPr>
        <w:t xml:space="preserve">Document ID:</w:t>
      </w:r>
      <w:r>
        <w:t xml:space="preserve"> </w:t>
      </w:r>
      <w:r>
        <w:t xml:space="preserve">PE-MTL-2023-EXP-04</w:t>
      </w:r>
    </w:p>
    <w:p>
      <w:pPr>
        <w:pStyle w:val="BodyText"/>
      </w:pPr>
      <w:r>
        <w:rPr>
          <w:bCs/>
          <w:b/>
        </w:rPr>
        <w:t xml:space="preserve">Location:</w:t>
      </w:r>
      <w:r>
        <w:t xml:space="preserve"> </w:t>
      </w:r>
      <w:r>
        <w:t xml:space="preserve">Advanced Reservoir Engineering Laboratory, Montreal, Quebec, Canada</w:t>
      </w:r>
    </w:p>
    <w:p>
      <w:pPr>
        <w:pStyle w:val="BodyText"/>
      </w:pPr>
      <w:r>
        <w:rPr>
          <w:bCs/>
          <w:b/>
        </w:rPr>
        <w:t xml:space="preserve">Prepared By:</w:t>
      </w:r>
      <w:r>
        <w:t xml:space="preserve"> </w:t>
      </w:r>
      <w:r>
        <w:t xml:space="preserve">Senior Petroleum Engineer</w:t>
      </w:r>
    </w:p>
    <w:p>
      <w:pPr>
        <w:pStyle w:val="BodyText"/>
      </w:pPr>
      <w:r>
        <w:rPr>
          <w:bCs/>
          <w:b/>
        </w:rPr>
        <w:t xml:space="preserve">Date:</w:t>
      </w:r>
      <w:r>
        <w:t xml:space="preserve"> </w:t>
      </w:r>
      <w:r>
        <w:t xml:space="preserve">October 24, 2023</w:t>
      </w:r>
    </w:p>
    <w:p>
      <w:pPr>
        <w:pStyle w:val="BodyText"/>
      </w:pPr>
      <w:r>
        <w:rPr>
          <w:bCs/>
          <w:b/>
        </w:rPr>
        <w:t xml:space="preserve">Compliance:</w:t>
      </w:r>
      <w:r>
        <w:t xml:space="preserve"> </w:t>
      </w:r>
      <w:r>
        <w:t xml:space="preserve">Aligned with Canadian Association of Petroleum Producers (CAPP) standards and Quebec environmental regulations.</w:t>
      </w:r>
    </w:p>
    <w:bookmarkEnd w:id="20"/>
    <w:bookmarkStart w:id="21" w:name="objective-and-scope"/>
    <w:p>
      <w:pPr>
        <w:pStyle w:val="Heading2"/>
      </w:pPr>
      <w:r>
        <w:t xml:space="preserve">1. Objective and Scope</w:t>
      </w:r>
    </w:p>
    <w:p>
      <w:pPr>
        <w:pStyle w:val="FirstParagraph"/>
      </w:pPr>
      <w:r>
        <w:t xml:space="preserve">This Experiment Protocol outlines the methodology for evaluating the efficacy of a novel nanofluid-based chemical flooding technique for Enhanced Oil Recovery (EOR) in tight carbonate reservoirs. While the primary focus of the Petroleum Engineer is typically associated with the oil sands of Alberta or offshore fields, this study is specifically tailored to the geological characteristics found in the Appalachian Basin and emerging unconventional plays in Eastern Canada, including the vicinity of Montreal.</w:t>
      </w:r>
    </w:p>
    <w:p>
      <w:pPr>
        <w:pStyle w:val="BodyText"/>
      </w:pPr>
      <w:r>
        <w:t xml:space="preserve">The primary objective is to determine the incremental oil recovery factor achieved by injecting silica nanoparticles suspended in brine compared to conventional water flooding. This research aims to optimize recovery strategies for low-permeability reservoirs, contributing to the sustainable development of hydrocarbon resources in Canada.</w:t>
      </w:r>
    </w:p>
    <w:bookmarkEnd w:id="21"/>
    <w:bookmarkStart w:id="22" w:name="safety-and-environmental-compliance"/>
    <w:p>
      <w:pPr>
        <w:pStyle w:val="Heading2"/>
      </w:pPr>
      <w:r>
        <w:t xml:space="preserve">2. Safety and Environmental Compliance</w:t>
      </w:r>
    </w:p>
    <w:p>
      <w:pPr>
        <w:pStyle w:val="FirstParagraph"/>
      </w:pPr>
      <w:r>
        <w:t xml:space="preserve">As this experiment is conducted in Montreal, Quebec, strict adherence to local and federal safety regulations is mandatory. The Petroleum Engineer must ensure compliance with:</w:t>
      </w:r>
    </w:p>
    <w:p>
      <w:pPr>
        <w:numPr>
          <w:ilvl w:val="0"/>
          <w:numId w:val="1001"/>
        </w:numPr>
        <w:pStyle w:val="Compact"/>
      </w:pPr>
      <w:r>
        <w:rPr>
          <w:bCs/>
          <w:b/>
        </w:rPr>
        <w:t xml:space="preserve">Workplace Safety and Insurance Board (WSIB) Quebec:</w:t>
      </w:r>
      <w:r>
        <w:t xml:space="preserve"> </w:t>
      </w:r>
      <w:r>
        <w:t xml:space="preserve">All personnel must wear appropriate Personal Protective Equipment (PPE), including chemical-resistant gloves, safety goggles, and lab coats.</w:t>
      </w:r>
    </w:p>
    <w:p>
      <w:pPr>
        <w:numPr>
          <w:ilvl w:val="0"/>
          <w:numId w:val="1001"/>
        </w:numPr>
        <w:pStyle w:val="Compact"/>
      </w:pPr>
      <w:r>
        <w:rPr>
          <w:bCs/>
          <w:b/>
        </w:rPr>
        <w:t xml:space="preserve">Canadian Environmental Protection Act (CEPA):</w:t>
      </w:r>
      <w:r>
        <w:t xml:space="preserve"> </w:t>
      </w:r>
      <w:r>
        <w:t xml:space="preserve">Proper disposal of chemical waste and nanoparticle suspensions must be managed to prevent environmental contamination.</w:t>
      </w:r>
    </w:p>
    <w:p>
      <w:pPr>
        <w:numPr>
          <w:ilvl w:val="0"/>
          <w:numId w:val="1001"/>
        </w:numPr>
        <w:pStyle w:val="Compact"/>
      </w:pPr>
      <w:r>
        <w:rPr>
          <w:bCs/>
          <w:b/>
        </w:rPr>
        <w:t xml:space="preserve">Local Montreal Regulations:</w:t>
      </w:r>
      <w:r>
        <w:t xml:space="preserve"> </w:t>
      </w:r>
      <w:r>
        <w:t xml:space="preserve">Adherence to municipal guidelines regarding hazardous material storage and handling within the laboratory facility.</w:t>
      </w:r>
    </w:p>
    <w:p>
      <w:pPr>
        <w:pStyle w:val="FirstParagraph"/>
      </w:pPr>
      <w:r>
        <w:t xml:space="preserve">A comprehensive Risk Assessment has been conducted, identifying potential hazards such as chemical exposure, high-pressure equipment failure, and nanoparticle inhalation. Mitigation strategies include the use of fume hoods, pressure relief valves, and continuous air monitoring.</w:t>
      </w:r>
    </w:p>
    <w:bookmarkEnd w:id="22"/>
    <w:bookmarkStart w:id="23" w:name="materials-and-equipment"/>
    <w:p>
      <w:pPr>
        <w:pStyle w:val="Heading2"/>
      </w:pPr>
      <w:r>
        <w:t xml:space="preserve">3. Materials and Equipment</w:t>
      </w:r>
    </w:p>
    <w:p>
      <w:pPr>
        <w:pStyle w:val="FirstParagraph"/>
      </w:pPr>
      <w:r>
        <w:t xml:space="preserve">The following materials and equipment are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Core Samples</w:t>
            </w:r>
          </w:p>
        </w:tc>
        <w:tc>
          <w:tcPr/>
          <w:p>
            <w:pPr>
              <w:pStyle w:val="Compact"/>
              <w:jc w:val="left"/>
            </w:pPr>
            <w:r>
              <w:t xml:space="preserve">Tight carbonate rock cores (5 cm diameter, 10 cm length), sourced from Eastern Canada formations</w:t>
            </w:r>
          </w:p>
        </w:tc>
        <w:tc>
          <w:tcPr/>
          <w:p>
            <w:pPr>
              <w:pStyle w:val="Compact"/>
              <w:jc w:val="left"/>
            </w:pPr>
            <w:r>
              <w:t xml:space="preserve">6</w:t>
            </w:r>
          </w:p>
        </w:tc>
      </w:tr>
      <w:tr>
        <w:tc>
          <w:tcPr/>
          <w:p>
            <w:pPr>
              <w:pStyle w:val="Compact"/>
              <w:jc w:val="left"/>
            </w:pPr>
            <w:r>
              <w:t xml:space="preserve">Nanoparticles</w:t>
            </w:r>
          </w:p>
        </w:tc>
        <w:tc>
          <w:tcPr/>
          <w:p>
            <w:pPr>
              <w:pStyle w:val="Compact"/>
              <w:jc w:val="left"/>
            </w:pPr>
            <w:r>
              <w:t xml:space="preserve">Silica nanoparticles (SiO2), 20 nm diameter</w:t>
            </w:r>
          </w:p>
        </w:tc>
        <w:tc>
          <w:tcPr/>
          <w:p>
            <w:pPr>
              <w:pStyle w:val="Compact"/>
              <w:jc w:val="left"/>
            </w:pPr>
            <w:r>
              <w:t xml:space="preserve">500 g</w:t>
            </w:r>
          </w:p>
        </w:tc>
      </w:tr>
      <w:tr>
        <w:tc>
          <w:tcPr/>
          <w:p>
            <w:pPr>
              <w:pStyle w:val="Compact"/>
              <w:jc w:val="left"/>
            </w:pPr>
            <w:r>
              <w:t xml:space="preserve">Brine Solution</w:t>
            </w:r>
          </w:p>
        </w:tc>
        <w:tc>
          <w:tcPr/>
          <w:p>
            <w:pPr>
              <w:pStyle w:val="Compact"/>
              <w:jc w:val="left"/>
            </w:pPr>
            <w:r>
              <w:t xml:space="preserve">Synthetic formation brine, salinity 100,000 ppm</w:t>
            </w:r>
          </w:p>
        </w:tc>
        <w:tc>
          <w:tcPr/>
          <w:p>
            <w:pPr>
              <w:pStyle w:val="Compact"/>
              <w:jc w:val="left"/>
            </w:pPr>
            <w:r>
              <w:t xml:space="preserve">50 L</w:t>
            </w:r>
          </w:p>
        </w:tc>
      </w:tr>
      <w:tr>
        <w:tc>
          <w:tcPr/>
          <w:p>
            <w:pPr>
              <w:pStyle w:val="Compact"/>
              <w:jc w:val="left"/>
            </w:pPr>
            <w:r>
              <w:t xml:space="preserve">Crude Oil</w:t>
            </w:r>
          </w:p>
        </w:tc>
        <w:tc>
          <w:tcPr/>
          <w:p>
            <w:pPr>
              <w:pStyle w:val="Compact"/>
              <w:jc w:val="left"/>
            </w:pPr>
            <w:r>
              <w:t xml:space="preserve">Live crude oil, viscosity 50 cP at reservoir conditions</w:t>
            </w:r>
          </w:p>
        </w:tc>
        <w:tc>
          <w:tcPr/>
          <w:p>
            <w:pPr>
              <w:pStyle w:val="Compact"/>
              <w:jc w:val="left"/>
            </w:pPr>
            <w:r>
              <w:t xml:space="preserve">20 L</w:t>
            </w:r>
          </w:p>
        </w:tc>
      </w:tr>
      <w:tr>
        <w:tc>
          <w:tcPr/>
          <w:p>
            <w:pPr>
              <w:pStyle w:val="Compact"/>
              <w:jc w:val="left"/>
            </w:pPr>
            <w:r>
              <w:t xml:space="preserve">Core Flood Apparatus</w:t>
            </w:r>
          </w:p>
        </w:tc>
        <w:tc>
          <w:tcPr/>
          <w:p>
            <w:pPr>
              <w:pStyle w:val="Compact"/>
              <w:jc w:val="left"/>
            </w:pPr>
            <w:r>
              <w:t xml:space="preserve">High-pressure, high-temperature (HPHT) core flood system</w:t>
            </w:r>
          </w:p>
        </w:tc>
        <w:tc>
          <w:tcPr/>
          <w:p>
            <w:pPr>
              <w:pStyle w:val="Compact"/>
              <w:jc w:val="left"/>
            </w:pPr>
            <w:r>
              <w:t xml:space="preserve">2</w:t>
            </w:r>
          </w:p>
        </w:tc>
      </w:tr>
      <w:tr>
        <w:tc>
          <w:tcPr/>
          <w:p>
            <w:pPr>
              <w:pStyle w:val="Compact"/>
              <w:jc w:val="left"/>
            </w:pPr>
            <w:r>
              <w:t xml:space="preserve">Pressure Transducers</w:t>
            </w:r>
          </w:p>
        </w:tc>
        <w:tc>
          <w:tcPr/>
          <w:p>
            <w:pPr>
              <w:pStyle w:val="Compact"/>
              <w:jc w:val="left"/>
            </w:pPr>
            <w:r>
              <w:t xml:space="preserve">Accuracy ±0.1% of full scale</w:t>
            </w:r>
          </w:p>
        </w:tc>
        <w:tc>
          <w:tcPr/>
          <w:p>
            <w:pPr>
              <w:pStyle w:val="Compact"/>
              <w:jc w:val="left"/>
            </w:pPr>
            <w:r>
              <w:t xml:space="preserve">4</w:t>
            </w:r>
          </w:p>
        </w:tc>
      </w:tr>
      <w:tr>
        <w:tc>
          <w:tcPr/>
          <w:p>
            <w:pPr>
              <w:pStyle w:val="Compact"/>
              <w:jc w:val="left"/>
            </w:pPr>
            <w:r>
              <w:t xml:space="preserve">Flow Meters</w:t>
            </w:r>
          </w:p>
        </w:tc>
        <w:tc>
          <w:tcPr/>
          <w:p>
            <w:pPr>
              <w:pStyle w:val="Compact"/>
              <w:jc w:val="left"/>
            </w:pPr>
            <w:r>
              <w:t xml:space="preserve">Coriolis mass flow meters</w:t>
            </w:r>
          </w:p>
        </w:tc>
        <w:tc>
          <w:tcPr/>
          <w:p>
            <w:pPr>
              <w:pStyle w:val="Compact"/>
              <w:jc w:val="left"/>
            </w:pPr>
            <w:r>
              <w:t xml:space="preserve">2</w:t>
            </w:r>
          </w:p>
        </w:tc>
      </w:tr>
    </w:tbl>
    <w:bookmarkEnd w:id="23"/>
    <w:bookmarkStart w:id="29" w:name="experimental-procedure"/>
    <w:p>
      <w:pPr>
        <w:pStyle w:val="Heading2"/>
      </w:pPr>
      <w:r>
        <w:t xml:space="preserve">4. Experimental Procedure</w:t>
      </w:r>
    </w:p>
    <w:bookmarkStart w:id="24" w:name="core-sample-preparation"/>
    <w:p>
      <w:pPr>
        <w:pStyle w:val="Heading3"/>
      </w:pPr>
      <w:r>
        <w:t xml:space="preserve">4.1. Core Sample Preparation</w:t>
      </w:r>
    </w:p>
    <w:p>
      <w:pPr>
        <w:numPr>
          <w:ilvl w:val="0"/>
          <w:numId w:val="1002"/>
        </w:numPr>
        <w:pStyle w:val="Compact"/>
      </w:pPr>
      <w:r>
        <w:t xml:space="preserve">Clean the carbonate core samples using toluene and methanol to remove any existing hydrocarbons.</w:t>
      </w:r>
    </w:p>
    <w:p>
      <w:pPr>
        <w:numPr>
          <w:ilvl w:val="0"/>
          <w:numId w:val="1002"/>
        </w:numPr>
        <w:pStyle w:val="Compact"/>
      </w:pPr>
      <w:r>
        <w:t xml:space="preserve">Dry the cores in an oven at 60°C for 24 hours.</w:t>
      </w:r>
    </w:p>
    <w:p>
      <w:pPr>
        <w:numPr>
          <w:ilvl w:val="0"/>
          <w:numId w:val="1002"/>
        </w:numPr>
        <w:pStyle w:val="Compact"/>
      </w:pPr>
      <w:r>
        <w:t xml:space="preserve">Saturate the cores with synthetic formation brine under vacuum to ensure 100% water saturation.</w:t>
      </w:r>
    </w:p>
    <w:p>
      <w:pPr>
        <w:numPr>
          <w:ilvl w:val="0"/>
          <w:numId w:val="1002"/>
        </w:numPr>
        <w:pStyle w:val="Compact"/>
      </w:pPr>
      <w:r>
        <w:t xml:space="preserve">Measure the initial porosity and permeability of each core sample using helium porosimetry and gas permeametry.</w:t>
      </w:r>
    </w:p>
    <w:bookmarkEnd w:id="24"/>
    <w:bookmarkStart w:id="25" w:name="oil-saturation"/>
    <w:p>
      <w:pPr>
        <w:pStyle w:val="Heading3"/>
      </w:pPr>
      <w:r>
        <w:t xml:space="preserve">4.2. Oil Saturation</w:t>
      </w:r>
    </w:p>
    <w:p>
      <w:pPr>
        <w:numPr>
          <w:ilvl w:val="0"/>
          <w:numId w:val="1003"/>
        </w:numPr>
        <w:pStyle w:val="Compact"/>
      </w:pPr>
      <w:r>
        <w:t xml:space="preserve">Inject crude oil into the brine-saturated cores at a constant pressure of 5,000 psi to displace the brine and establish initial oil saturation (Soi).</w:t>
      </w:r>
    </w:p>
    <w:p>
      <w:pPr>
        <w:numPr>
          <w:ilvl w:val="0"/>
          <w:numId w:val="1003"/>
        </w:numPr>
        <w:pStyle w:val="Compact"/>
      </w:pPr>
      <w:r>
        <w:t xml:space="preserve">Maintain the cores at reservoir temperature (80°C) for 48 hours to ensure equilibrium.</w:t>
      </w:r>
    </w:p>
    <w:bookmarkEnd w:id="25"/>
    <w:bookmarkStart w:id="26" w:name="water-flooding-baseline"/>
    <w:p>
      <w:pPr>
        <w:pStyle w:val="Heading3"/>
      </w:pPr>
      <w:r>
        <w:t xml:space="preserve">4.3. Water Flooding (Baseline)</w:t>
      </w:r>
    </w:p>
    <w:p>
      <w:pPr>
        <w:numPr>
          <w:ilvl w:val="0"/>
          <w:numId w:val="1004"/>
        </w:numPr>
        <w:pStyle w:val="Compact"/>
      </w:pPr>
      <w:r>
        <w:t xml:space="preserve">Perform a primary water flood by injecting brine at a constant rate of 1 cc/min until the water cut reaches 98%.</w:t>
      </w:r>
    </w:p>
    <w:p>
      <w:pPr>
        <w:numPr>
          <w:ilvl w:val="0"/>
          <w:numId w:val="1004"/>
        </w:numPr>
        <w:pStyle w:val="Compact"/>
      </w:pPr>
      <w:r>
        <w:t xml:space="preserve">Record the cumulative oil production and pressure drop across the core.</w:t>
      </w:r>
    </w:p>
    <w:bookmarkEnd w:id="26"/>
    <w:bookmarkStart w:id="27" w:name="nanofluid-injection-eor"/>
    <w:p>
      <w:pPr>
        <w:pStyle w:val="Heading3"/>
      </w:pPr>
      <w:r>
        <w:t xml:space="preserve">4.4. Nanofluid Injection (EOR)</w:t>
      </w:r>
    </w:p>
    <w:p>
      <w:pPr>
        <w:numPr>
          <w:ilvl w:val="0"/>
          <w:numId w:val="1005"/>
        </w:numPr>
        <w:pStyle w:val="Compact"/>
      </w:pPr>
      <w:r>
        <w:t xml:space="preserve">Prepare the nanofluid by dispersing silica nanoparticles in brine at concentrations of 0.1%, 0.5%, and 1.0% by weight.</w:t>
      </w:r>
    </w:p>
    <w:p>
      <w:pPr>
        <w:numPr>
          <w:ilvl w:val="0"/>
          <w:numId w:val="1005"/>
        </w:numPr>
        <w:pStyle w:val="Compact"/>
      </w:pPr>
      <w:r>
        <w:t xml:space="preserve">Inject the nanofluid into the cores at the same flow rate as the water flood.</w:t>
      </w:r>
    </w:p>
    <w:p>
      <w:pPr>
        <w:numPr>
          <w:ilvl w:val="0"/>
          <w:numId w:val="1005"/>
        </w:numPr>
        <w:pStyle w:val="Compact"/>
      </w:pPr>
      <w:r>
        <w:t xml:space="preserve">Monitor the pressure drop, oil production rate, and water cut continuously.</w:t>
      </w:r>
    </w:p>
    <w:p>
      <w:pPr>
        <w:numPr>
          <w:ilvl w:val="0"/>
          <w:numId w:val="1005"/>
        </w:numPr>
        <w:pStyle w:val="Compact"/>
      </w:pPr>
      <w:r>
        <w:t xml:space="preserve">Continue injection until breakthrough and until no further oil production is observed.</w:t>
      </w:r>
    </w:p>
    <w:bookmarkEnd w:id="27"/>
    <w:bookmarkStart w:id="28" w:name="post-experiment-analysis"/>
    <w:p>
      <w:pPr>
        <w:pStyle w:val="Heading3"/>
      </w:pPr>
      <w:r>
        <w:t xml:space="preserve">4.5. Post-Experiment Analysis</w:t>
      </w:r>
    </w:p>
    <w:p>
      <w:pPr>
        <w:numPr>
          <w:ilvl w:val="0"/>
          <w:numId w:val="1006"/>
        </w:numPr>
        <w:pStyle w:val="Compact"/>
      </w:pPr>
      <w:r>
        <w:t xml:space="preserve">Extract the core samples and measure the residual oil saturation.</w:t>
      </w:r>
    </w:p>
    <w:p>
      <w:pPr>
        <w:numPr>
          <w:ilvl w:val="0"/>
          <w:numId w:val="1006"/>
        </w:numPr>
        <w:pStyle w:val="Compact"/>
      </w:pPr>
      <w:r>
        <w:t xml:space="preserve">Analyze the produced fluids for nanoparticle concentration and oil composition.</w:t>
      </w:r>
    </w:p>
    <w:p>
      <w:pPr>
        <w:numPr>
          <w:ilvl w:val="0"/>
          <w:numId w:val="1006"/>
        </w:numPr>
        <w:pStyle w:val="Compact"/>
      </w:pPr>
      <w:r>
        <w:t xml:space="preserve">Calculate the incremental oil recovery factor for each nanoparticle concentration.</w:t>
      </w:r>
    </w:p>
    <w:bookmarkEnd w:id="28"/>
    <w:bookmarkEnd w:id="29"/>
    <w:bookmarkStart w:id="30" w:name="data-analysis-and-reporting"/>
    <w:p>
      <w:pPr>
        <w:pStyle w:val="Heading2"/>
      </w:pPr>
      <w:r>
        <w:t xml:space="preserve">5. Data Analysis and Reporting</w:t>
      </w:r>
    </w:p>
    <w:p>
      <w:pPr>
        <w:pStyle w:val="FirstParagraph"/>
      </w:pPr>
      <w:r>
        <w:t xml:space="preserve">The Petroleum Engineer will analyze the data to determine the relationship between nanoparticle concentration and oil recovery efficiency. Key performance indicators include:</w:t>
      </w:r>
    </w:p>
    <w:p>
      <w:pPr>
        <w:numPr>
          <w:ilvl w:val="0"/>
          <w:numId w:val="1007"/>
        </w:numPr>
        <w:pStyle w:val="Compact"/>
      </w:pPr>
      <w:r>
        <w:t xml:space="preserve">Incremental oil recovery factor (%)</w:t>
      </w:r>
    </w:p>
    <w:p>
      <w:pPr>
        <w:numPr>
          <w:ilvl w:val="0"/>
          <w:numId w:val="1007"/>
        </w:numPr>
        <w:pStyle w:val="Compact"/>
      </w:pPr>
      <w:r>
        <w:t xml:space="preserve">Pressure drop across the core (psi)</w:t>
      </w:r>
    </w:p>
    <w:p>
      <w:pPr>
        <w:numPr>
          <w:ilvl w:val="0"/>
          <w:numId w:val="1007"/>
        </w:numPr>
        <w:pStyle w:val="Compact"/>
      </w:pPr>
      <w:r>
        <w:t xml:space="preserve">Water cut (%)</w:t>
      </w:r>
    </w:p>
    <w:p>
      <w:pPr>
        <w:numPr>
          <w:ilvl w:val="0"/>
          <w:numId w:val="1007"/>
        </w:numPr>
        <w:pStyle w:val="Compact"/>
      </w:pPr>
      <w:r>
        <w:t xml:space="preserve">Nanoparticle retention in the core (%)</w:t>
      </w:r>
    </w:p>
    <w:p>
      <w:pPr>
        <w:pStyle w:val="FirstParagraph"/>
      </w:pPr>
      <w:r>
        <w:t xml:space="preserve">The results will be compiled into a comprehensive report, including statistical analysis and uncertainty quantification. The report will be submitted to the project stakeholders and, if applicable, published in peer-reviewed journals focusing on petroleum engineering and reservoir characterization.</w:t>
      </w:r>
    </w:p>
    <w:bookmarkEnd w:id="30"/>
    <w:bookmarkStart w:id="31" w:name="conclusion"/>
    <w:p>
      <w:pPr>
        <w:pStyle w:val="Heading2"/>
      </w:pPr>
      <w:r>
        <w:t xml:space="preserve">6. Conclusion</w:t>
      </w:r>
    </w:p>
    <w:p>
      <w:pPr>
        <w:pStyle w:val="FirstParagraph"/>
      </w:pPr>
      <w:r>
        <w:t xml:space="preserve">This Experiment Protocol provides a structured approach for evaluating the potential of nanofluid-based EOR techniques in tight carbonate reservoirs. By adhering to this protocol, the Petroleum Engineer can ensure the reliability and reproducibility of the experimental results, contributing to the advancement of oil recovery technologies in Canada, particularly in regions like Montreal where unconventional reservoirs present unique challenges and opportunities.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in Tight Carbonate Formations</dc:title>
  <dc:creator/>
  <dc:language>en</dc:language>
  <cp:keywords/>
  <dcterms:created xsi:type="dcterms:W3CDTF">2026-10-10T05:07:46Z</dcterms:created>
  <dcterms:modified xsi:type="dcterms:W3CDTF">2026-10-10T05:07:46Z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