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Enhanced</w:t>
      </w:r>
      <w:r>
        <w:t xml:space="preserve"> </w:t>
      </w:r>
      <w:r>
        <w:t xml:space="preserve">Oil</w:t>
      </w:r>
      <w:r>
        <w:t xml:space="preserve"> </w:t>
      </w:r>
      <w:r>
        <w:t xml:space="preserve">Recovery</w:t>
      </w:r>
      <w:r>
        <w:t xml:space="preserve"> </w:t>
      </w:r>
      <w:r>
        <w:t xml:space="preserve">Simulation</w:t>
      </w:r>
      <w:r>
        <w:t xml:space="preserve"> </w:t>
      </w:r>
      <w:r>
        <w:t xml:space="preserve">-</w:t>
      </w:r>
      <w:r>
        <w:t xml:space="preserve"> </w:t>
      </w:r>
      <w:r>
        <w:t xml:space="preserve">Toronto,</w:t>
      </w:r>
      <w:r>
        <w:t xml:space="preserve"> </w:t>
      </w:r>
      <w:r>
        <w:t xml:space="preserve">Canada</w:t>
      </w:r>
    </w:p>
    <w:bookmarkStart w:id="20" w:name="Xefc23a61d0b05ac0e5a79870131e6dac05f9c39"/>
    <w:p>
      <w:pPr>
        <w:pStyle w:val="Heading1"/>
      </w:pPr>
      <w:r>
        <w:t xml:space="preserve">Experiment Protocol: Enhanced Oil Recovery (EOR) Simulation</w:t>
      </w:r>
    </w:p>
    <w:p>
      <w:pPr>
        <w:pStyle w:val="FirstParagraph"/>
      </w:pPr>
      <w:r>
        <w:rPr>
          <w:bCs/>
          <w:b/>
        </w:rPr>
        <w:t xml:space="preserve">Location:</w:t>
      </w:r>
      <w:r>
        <w:t xml:space="preserve"> </w:t>
      </w:r>
      <w:r>
        <w:t xml:space="preserve">University of Toronto, Department of Chemical Engineering, Toronto, Canada</w:t>
      </w:r>
    </w:p>
    <w:p>
      <w:pPr>
        <w:pStyle w:val="BodyText"/>
      </w:pPr>
      <w:r>
        <w:rPr>
          <w:bCs/>
          <w:b/>
        </w:rPr>
        <w:t xml:space="preserve">Discipline:</w:t>
      </w:r>
      <w:r>
        <w:t xml:space="preserve"> </w:t>
      </w:r>
      <w:r>
        <w:t xml:space="preserve">Petroleum Engineering</w:t>
      </w:r>
    </w:p>
    <w:p>
      <w:pPr>
        <w:pStyle w:val="BodyText"/>
      </w:pPr>
      <w:r>
        <w:rPr>
          <w:bCs/>
          <w:b/>
        </w:rPr>
        <w:t xml:space="preserve">Protocol ID:</w:t>
      </w:r>
      <w:r>
        <w:t xml:space="preserve"> </w:t>
      </w:r>
      <w:r>
        <w:t xml:space="preserve">UofT-PE-2023-045</w:t>
      </w:r>
    </w:p>
    <w:p>
      <w:pPr>
        <w:pStyle w:val="BodyText"/>
      </w:pPr>
      <w:r>
        <w:rPr>
          <w:bCs/>
          <w:b/>
        </w:rPr>
        <w:t xml:space="preserve">Date:</w:t>
      </w:r>
      <w:r>
        <w:t xml:space="preserve"> </w:t>
      </w:r>
      <w:r>
        <w:t xml:space="preserve">October 24, 2023</w:t>
      </w:r>
    </w:p>
    <w:bookmarkEnd w:id="20"/>
    <w:p>
      <w:pPr>
        <w:pStyle w:val="BodyText"/>
      </w:pPr>
      <w:r>
        <w:t xml:space="preserve">1. Objective</w:t>
      </w:r>
    </w:p>
    <w:p>
      <w:pPr>
        <w:pStyle w:val="BodyText"/>
      </w:pPr>
      <w:r>
        <w:t xml:space="preserve">The primary objective of this experiment is to evaluate the efficiency of a novel polymer-based flooding technique for Enhanced Oil Recovery (EOR) in heavy oil reservoirs typical of Western Canada. This protocol is designed for use by Petroleum Engineers and researchers operating within the regulatory and academic framework of Toronto, Canada. The study aims to quantify the incremental oil recovery factor achieved through the injection of a biodegradable polymer solution compared to conventional water flooding methods.</w:t>
      </w:r>
    </w:p>
    <w:p>
      <w:pPr>
        <w:pStyle w:val="BodyText"/>
      </w:pPr>
      <w:r>
        <w:t xml:space="preserve">2. Scope and Applicability</w:t>
      </w:r>
    </w:p>
    <w:p>
      <w:pPr>
        <w:pStyle w:val="BodyText"/>
      </w:pPr>
      <w:r>
        <w:t xml:space="preserve">This protocol applies to laboratory-scale core flooding experiments conducted in controlled environments. It is specifically tailored to simulate subsurface conditions found in Canadian oil sands and heavy oil deposits. The procedures outlined herein adhere to the safety standards mandated by the Ontario Ministry of Labour and the Canadian Standards Association (CSA). All Petroleum Engineers involved must be certified under the Association of Professional Engineers and Geoscientists of Ontario (PEO).</w:t>
      </w:r>
    </w:p>
    <w:p>
      <w:pPr>
        <w:pStyle w:val="BodyText"/>
      </w:pPr>
      <w:r>
        <w:t xml:space="preserve">3. Materials and Equipment</w:t>
      </w:r>
    </w:p>
    <w:p>
      <w:pPr>
        <w:pStyle w:val="BodyText"/>
      </w:pPr>
      <w:r>
        <w:t xml:space="preserve">The following materials and equipment are required for the execution of this experiment:</w:t>
      </w:r>
    </w:p>
    <w:p>
      <w:pPr>
        <w:numPr>
          <w:ilvl w:val="0"/>
          <w:numId w:val="1001"/>
        </w:numPr>
        <w:pStyle w:val="Compact"/>
      </w:pPr>
      <w:r>
        <w:t xml:space="preserve">Core holder assembly capable of withstanding pressures up to 10,000 psi.</w:t>
      </w:r>
    </w:p>
    <w:p>
      <w:pPr>
        <w:numPr>
          <w:ilvl w:val="0"/>
          <w:numId w:val="1001"/>
        </w:numPr>
        <w:pStyle w:val="Compact"/>
      </w:pPr>
      <w:r>
        <w:t xml:space="preserve">High-pressure syringe pumps (minimum of three units).</w:t>
      </w:r>
    </w:p>
    <w:p>
      <w:pPr>
        <w:numPr>
          <w:ilvl w:val="0"/>
          <w:numId w:val="1001"/>
        </w:numPr>
        <w:pStyle w:val="Compact"/>
      </w:pPr>
      <w:r>
        <w:t xml:space="preserve">Core samples: Sandstone cores representative of Canadian reservoirs, diameter 2.54 cm, length 10 cm.</w:t>
      </w:r>
    </w:p>
    <w:p>
      <w:pPr>
        <w:numPr>
          <w:ilvl w:val="0"/>
          <w:numId w:val="1001"/>
        </w:numPr>
        <w:pStyle w:val="Compact"/>
      </w:pPr>
      <w:r>
        <w:t xml:space="preserve">Brine solution: Synthetic brine matching the salinity of target reservoirs.</w:t>
      </w:r>
    </w:p>
    <w:p>
      <w:pPr>
        <w:numPr>
          <w:ilvl w:val="0"/>
          <w:numId w:val="1001"/>
        </w:numPr>
        <w:pStyle w:val="Compact"/>
      </w:pPr>
      <w:r>
        <w:t xml:space="preserve">Polymer solution: Biodegradable polymer at concentrations of 500 ppm and 1000 ppm.</w:t>
      </w:r>
    </w:p>
    <w:p>
      <w:pPr>
        <w:numPr>
          <w:ilvl w:val="0"/>
          <w:numId w:val="1001"/>
        </w:numPr>
        <w:pStyle w:val="Compact"/>
      </w:pPr>
      <w:r>
        <w:t xml:space="preserve">Heavy oil: Canadian heavy crude oil with viscosity between 500 and 1000 cP at reservoir temperature.</w:t>
      </w:r>
    </w:p>
    <w:p>
      <w:pPr>
        <w:numPr>
          <w:ilvl w:val="0"/>
          <w:numId w:val="1001"/>
        </w:numPr>
        <w:pStyle w:val="Compact"/>
      </w:pPr>
      <w:r>
        <w:t xml:space="preserve">Temperature control system: Capable of maintaining temperatures between 50°C and 80°C.</w:t>
      </w:r>
    </w:p>
    <w:p>
      <w:pPr>
        <w:numPr>
          <w:ilvl w:val="0"/>
          <w:numId w:val="1001"/>
        </w:numPr>
        <w:pStyle w:val="Compact"/>
      </w:pPr>
      <w:r>
        <w:t xml:space="preserve">Pressure transducers and flow meters.</w:t>
      </w:r>
    </w:p>
    <w:p>
      <w:pPr>
        <w:numPr>
          <w:ilvl w:val="0"/>
          <w:numId w:val="1001"/>
        </w:numPr>
        <w:pStyle w:val="Compact"/>
      </w:pPr>
      <w:r>
        <w:t xml:space="preserve">Data acquisition system for real-time monitoring.</w:t>
      </w:r>
    </w:p>
    <w:p>
      <w:pPr>
        <w:pStyle w:val="FirstParagraph"/>
      </w:pPr>
      <w:r>
        <w:t xml:space="preserve">4. Safety Precautions</w:t>
      </w:r>
    </w:p>
    <w:p>
      <w:pPr>
        <w:pStyle w:val="BodyText"/>
      </w:pPr>
      <w:r>
        <w:t xml:space="preserve">Safety is paramount in all Petroleum Engineering experiments. The following precautions must be strictly observed:</w:t>
      </w:r>
    </w:p>
    <w:p>
      <w:pPr>
        <w:numPr>
          <w:ilvl w:val="0"/>
          <w:numId w:val="1002"/>
        </w:numPr>
        <w:pStyle w:val="Compact"/>
      </w:pPr>
      <w:r>
        <w:t xml:space="preserve">All personnel must wear appropriate personal protective equipment (PPE), including safety glasses, lab coats, and chemical-resistant gloves.</w:t>
      </w:r>
    </w:p>
    <w:p>
      <w:pPr>
        <w:numPr>
          <w:ilvl w:val="0"/>
          <w:numId w:val="1002"/>
        </w:numPr>
        <w:pStyle w:val="Compact"/>
      </w:pPr>
      <w:r>
        <w:t xml:space="preserve">Ensure that all high-pressure equipment is inspected and certified before use.</w:t>
      </w:r>
    </w:p>
    <w:p>
      <w:pPr>
        <w:numPr>
          <w:ilvl w:val="0"/>
          <w:numId w:val="1002"/>
        </w:numPr>
        <w:pStyle w:val="Compact"/>
      </w:pPr>
      <w:r>
        <w:t xml:space="preserve">Work in a well-ventilated area or under a fume hood when handling volatile chemicals.</w:t>
      </w:r>
    </w:p>
    <w:p>
      <w:pPr>
        <w:numPr>
          <w:ilvl w:val="0"/>
          <w:numId w:val="1002"/>
        </w:numPr>
        <w:pStyle w:val="Compact"/>
      </w:pPr>
      <w:r>
        <w:t xml:space="preserve">Have spill containment kits and fire extinguishers readily available.</w:t>
      </w:r>
    </w:p>
    <w:p>
      <w:pPr>
        <w:numPr>
          <w:ilvl w:val="0"/>
          <w:numId w:val="1002"/>
        </w:numPr>
        <w:pStyle w:val="Compact"/>
      </w:pPr>
      <w:r>
        <w:t xml:space="preserve">Follow the emergency procedures outlined by the University of Toronto and local Toronto fire services.</w:t>
      </w:r>
    </w:p>
    <w:p>
      <w:pPr>
        <w:pStyle w:val="FirstParagraph"/>
      </w:pPr>
      <w:r>
        <w:t xml:space="preserve">5. Experimental Procedure</w:t>
      </w:r>
    </w:p>
    <w:p>
      <w:pPr>
        <w:pStyle w:val="BodyText"/>
      </w:pPr>
      <w:r>
        <w:t xml:space="preserve">The experiment will be conducted in the following steps:</w:t>
      </w:r>
    </w:p>
    <w:p>
      <w:pPr>
        <w:numPr>
          <w:ilvl w:val="0"/>
          <w:numId w:val="1003"/>
        </w:numPr>
        <w:pStyle w:val="Compact"/>
      </w:pPr>
      <w:r>
        <w:rPr>
          <w:bCs/>
          <w:b/>
        </w:rPr>
        <w:t xml:space="preserve">Core Preparation:</w:t>
      </w:r>
      <w:r>
        <w:t xml:space="preserve"> </w:t>
      </w:r>
      <w:r>
        <w:t xml:space="preserve">Clean and dry the sandstone cores. Measure their initial weight and dimensions. Saturate the cores with brine to determine porosity and permeability.</w:t>
      </w:r>
    </w:p>
    <w:p>
      <w:pPr>
        <w:numPr>
          <w:ilvl w:val="0"/>
          <w:numId w:val="1003"/>
        </w:numPr>
        <w:pStyle w:val="Compact"/>
      </w:pPr>
      <w:r>
        <w:rPr>
          <w:bCs/>
          <w:b/>
        </w:rPr>
        <w:t xml:space="preserve">Oil Saturation:</w:t>
      </w:r>
      <w:r>
        <w:t xml:space="preserve"> </w:t>
      </w:r>
      <w:r>
        <w:t xml:space="preserve">Inject heavy oil into the cores until water saturation reaches irreducible levels. Record the volume of oil injected.</w:t>
      </w:r>
    </w:p>
    <w:p>
      <w:pPr>
        <w:numPr>
          <w:ilvl w:val="0"/>
          <w:numId w:val="1003"/>
        </w:numPr>
        <w:pStyle w:val="Compact"/>
      </w:pPr>
      <w:r>
        <w:rPr>
          <w:bCs/>
          <w:b/>
        </w:rPr>
        <w:t xml:space="preserve">Water Flooding:</w:t>
      </w:r>
      <w:r>
        <w:t xml:space="preserve"> </w:t>
      </w:r>
      <w:r>
        <w:t xml:space="preserve">Inject brine at a constant rate until the water cut reaches 98%. Record the volume of oil produced.</w:t>
      </w:r>
    </w:p>
    <w:p>
      <w:pPr>
        <w:numPr>
          <w:ilvl w:val="0"/>
          <w:numId w:val="1003"/>
        </w:numPr>
        <w:pStyle w:val="Compact"/>
      </w:pPr>
      <w:r>
        <w:rPr>
          <w:bCs/>
          <w:b/>
        </w:rPr>
        <w:t xml:space="preserve">Polymer Flooding:</w:t>
      </w:r>
      <w:r>
        <w:t xml:space="preserve"> </w:t>
      </w:r>
      <w:r>
        <w:t xml:space="preserve">Inject the polymer solution at the same rate as the brine. Monitor pressure drop and oil production.</w:t>
      </w:r>
    </w:p>
    <w:p>
      <w:pPr>
        <w:numPr>
          <w:ilvl w:val="0"/>
          <w:numId w:val="1003"/>
        </w:numPr>
        <w:pStyle w:val="Compact"/>
      </w:pPr>
      <w:r>
        <w:rPr>
          <w:bCs/>
          <w:b/>
        </w:rPr>
        <w:t xml:space="preserve">Data Collection:</w:t>
      </w:r>
      <w:r>
        <w:t xml:space="preserve"> </w:t>
      </w:r>
      <w:r>
        <w:t xml:space="preserve">Continuously record pressure, flow rate, and produced fluid volumes. Sample produced fluids for analysis.</w:t>
      </w:r>
    </w:p>
    <w:p>
      <w:pPr>
        <w:numPr>
          <w:ilvl w:val="0"/>
          <w:numId w:val="1003"/>
        </w:numPr>
        <w:pStyle w:val="Compact"/>
      </w:pPr>
      <w:r>
        <w:rPr>
          <w:bCs/>
          <w:b/>
        </w:rPr>
        <w:t xml:space="preserve">Post-Experiment Analysis:</w:t>
      </w:r>
      <w:r>
        <w:t xml:space="preserve"> </w:t>
      </w:r>
      <w:r>
        <w:t xml:space="preserve">Disassemble the core holder. Extract and analyze the core samples for residual oil saturation.</w:t>
      </w:r>
    </w:p>
    <w:p>
      <w:pPr>
        <w:pStyle w:val="FirstParagraph"/>
      </w:pPr>
      <w:r>
        <w:t xml:space="preserve">6. Data Analysis</w:t>
      </w:r>
    </w:p>
    <w:p>
      <w:pPr>
        <w:pStyle w:val="BodyText"/>
      </w:pPr>
      <w:r>
        <w:t xml:space="preserve">The data collected will be analyzed to determine the following:</w:t>
      </w:r>
    </w:p>
    <w:p>
      <w:pPr>
        <w:numPr>
          <w:ilvl w:val="0"/>
          <w:numId w:val="1004"/>
        </w:numPr>
        <w:pStyle w:val="Compact"/>
      </w:pPr>
      <w:r>
        <w:t xml:space="preserve">Oil recovery factor for water flooding and polymer flooding.</w:t>
      </w:r>
    </w:p>
    <w:p>
      <w:pPr>
        <w:numPr>
          <w:ilvl w:val="0"/>
          <w:numId w:val="1004"/>
        </w:numPr>
        <w:pStyle w:val="Compact"/>
      </w:pPr>
      <w:r>
        <w:t xml:space="preserve">Incremental oil recovery due to polymer injection.</w:t>
      </w:r>
    </w:p>
    <w:p>
      <w:pPr>
        <w:numPr>
          <w:ilvl w:val="0"/>
          <w:numId w:val="1004"/>
        </w:numPr>
        <w:pStyle w:val="Compact"/>
      </w:pPr>
      <w:r>
        <w:t xml:space="preserve">Pressure drop across the core during each flooding stage.</w:t>
      </w:r>
    </w:p>
    <w:p>
      <w:pPr>
        <w:numPr>
          <w:ilvl w:val="0"/>
          <w:numId w:val="1004"/>
        </w:numPr>
        <w:pStyle w:val="Compact"/>
      </w:pPr>
      <w:r>
        <w:t xml:space="preserve">Viscosity and rheological properties of the polymer solution.</w:t>
      </w:r>
    </w:p>
    <w:p>
      <w:pPr>
        <w:pStyle w:val="FirstParagraph"/>
      </w:pPr>
      <w:r>
        <w:t xml:space="preserve">Statistical methods will be employed to ensure the reliability and validity of the results. All data will be documented in accordance with the standards set by the Canadian Society for Mechanical Engineering (CSME).</w:t>
      </w:r>
    </w:p>
    <w:p>
      <w:pPr>
        <w:pStyle w:val="BodyText"/>
      </w:pPr>
      <w:r>
        <w:t xml:space="preserve">7. Environmental Considerations</w:t>
      </w:r>
    </w:p>
    <w:p>
      <w:pPr>
        <w:pStyle w:val="BodyText"/>
      </w:pPr>
      <w:r>
        <w:t xml:space="preserve">Given the environmental focus in Canada and Toronto, special attention will be paid to the disposal of chemicals and waste materials. All waste will be collected and disposed of in accordance with the Ontario Environmental Protection Act. The use of biodegradable polymers is intended to minimize environmental impact.</w:t>
      </w:r>
    </w:p>
    <w:p>
      <w:pPr>
        <w:pStyle w:val="BodyText"/>
      </w:pPr>
      <w:r>
        <w:t xml:space="preserve">8. Reporting</w:t>
      </w:r>
    </w:p>
    <w:p>
      <w:pPr>
        <w:pStyle w:val="BodyText"/>
      </w:pPr>
      <w:r>
        <w:t xml:space="preserve">A comprehensive report will be prepared detailing the methodology, results, and conclusions of the experiment. The report will include:</w:t>
      </w:r>
    </w:p>
    <w:p>
      <w:pPr>
        <w:numPr>
          <w:ilvl w:val="0"/>
          <w:numId w:val="1005"/>
        </w:numPr>
        <w:pStyle w:val="Compact"/>
      </w:pPr>
      <w:r>
        <w:t xml:space="preserve">Executive summary.</w:t>
      </w:r>
    </w:p>
    <w:p>
      <w:pPr>
        <w:numPr>
          <w:ilvl w:val="0"/>
          <w:numId w:val="1005"/>
        </w:numPr>
        <w:pStyle w:val="Compact"/>
      </w:pPr>
      <w:r>
        <w:t xml:space="preserve">Introduction and background.</w:t>
      </w:r>
    </w:p>
    <w:p>
      <w:pPr>
        <w:numPr>
          <w:ilvl w:val="0"/>
          <w:numId w:val="1005"/>
        </w:numPr>
        <w:pStyle w:val="Compact"/>
      </w:pPr>
      <w:r>
        <w:t xml:space="preserve">Materials and methods.</w:t>
      </w:r>
    </w:p>
    <w:p>
      <w:pPr>
        <w:numPr>
          <w:ilvl w:val="0"/>
          <w:numId w:val="1005"/>
        </w:numPr>
        <w:pStyle w:val="Compact"/>
      </w:pPr>
      <w:r>
        <w:t xml:space="preserve">Results and discussion.</w:t>
      </w:r>
    </w:p>
    <w:p>
      <w:pPr>
        <w:numPr>
          <w:ilvl w:val="0"/>
          <w:numId w:val="1005"/>
        </w:numPr>
        <w:pStyle w:val="Compact"/>
      </w:pPr>
      <w:r>
        <w:t xml:space="preserve">Conclusions and recommendations.</w:t>
      </w:r>
    </w:p>
    <w:p>
      <w:pPr>
        <w:numPr>
          <w:ilvl w:val="0"/>
          <w:numId w:val="1005"/>
        </w:numPr>
        <w:pStyle w:val="Compact"/>
      </w:pPr>
      <w:r>
        <w:t xml:space="preserve">References and appendices.</w:t>
      </w:r>
    </w:p>
    <w:p>
      <w:pPr>
        <w:pStyle w:val="FirstParagraph"/>
      </w:pPr>
      <w:r>
        <w:t xml:space="preserve">The report will be submitted to the supervising Petroleum Engineer and the relevant academic or industry stakeholders in Toronto, Canada.</w:t>
      </w:r>
    </w:p>
    <w:p>
      <w:pPr>
        <w:pStyle w:val="BodyText"/>
      </w:pPr>
      <w:r>
        <w:t xml:space="preserve">9. Approval and Signatures</w:t>
      </w:r>
    </w:p>
    <w:p>
      <w:pPr>
        <w:pStyle w:val="BodyText"/>
      </w:pPr>
      <w:r>
        <w:t xml:space="preserve">This protocol has been reviewed and approved by the following individuals: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Name</w:t>
            </w:r>
          </w:p>
        </w:tc>
        <w:tc>
          <w:tcPr/>
          <w:p>
            <w:pPr>
              <w:pStyle w:val="Compact"/>
              <w:jc w:val="left"/>
            </w:pPr>
            <w:r>
              <w:t xml:space="preserve">Role</w:t>
            </w:r>
          </w:p>
        </w:tc>
        <w:tc>
          <w:tcPr/>
          <w:p>
            <w:pPr>
              <w:pStyle w:val="Compact"/>
              <w:jc w:val="left"/>
            </w:pPr>
            <w:r>
              <w:t xml:space="preserve">Signature</w:t>
            </w:r>
          </w:p>
        </w:tc>
        <w:tc>
          <w:tcPr/>
          <w:p>
            <w:pPr>
              <w:pStyle w:val="Compact"/>
              <w:jc w:val="left"/>
            </w:pPr>
            <w:r>
              <w:t xml:space="preserve">Date</w:t>
            </w:r>
          </w:p>
        </w:tc>
      </w:tr>
      <w:tr>
        <w:tc>
          <w:tcPr/>
          <w:p>
            <w:pPr>
              <w:pStyle w:val="Compact"/>
              <w:jc w:val="left"/>
            </w:pPr>
            <w:r>
              <w:t xml:space="preserve">Dr. Jane Smith</w:t>
            </w:r>
          </w:p>
        </w:tc>
        <w:tc>
          <w:tcPr/>
          <w:p>
            <w:pPr>
              <w:pStyle w:val="Compact"/>
              <w:jc w:val="left"/>
            </w:pPr>
            <w:r>
              <w:t xml:space="preserve">Lead Petroleum Engineer</w:t>
            </w:r>
          </w:p>
        </w:tc>
        <w:tc>
          <w:tcPr/>
          <w:p>
            <w:pPr>
              <w:pStyle w:val="Compact"/>
            </w:pPr>
          </w:p>
        </w:tc>
        <w:tc>
          <w:tcPr/>
          <w:p>
            <w:pPr>
              <w:pStyle w:val="Compact"/>
            </w:pPr>
          </w:p>
        </w:tc>
      </w:tr>
      <w:tr>
        <w:tc>
          <w:tcPr/>
          <w:p>
            <w:pPr>
              <w:pStyle w:val="Compact"/>
              <w:jc w:val="left"/>
            </w:pPr>
            <w:r>
              <w:t xml:space="preserve">John Doe</w:t>
            </w:r>
          </w:p>
        </w:tc>
        <w:tc>
          <w:tcPr/>
          <w:p>
            <w:pPr>
              <w:pStyle w:val="Compact"/>
              <w:jc w:val="left"/>
            </w:pPr>
            <w:r>
              <w:t xml:space="preserve">Lab Supervisor</w:t>
            </w:r>
          </w:p>
        </w:tc>
        <w:tc>
          <w:tcPr/>
          <w:p>
            <w:pPr>
              <w:pStyle w:val="Compact"/>
            </w:pPr>
          </w:p>
        </w:tc>
        <w:tc>
          <w:tcPr/>
          <w:p>
            <w:pPr>
              <w:pStyle w:val="Compact"/>
            </w:pPr>
          </w:p>
        </w:tc>
      </w:tr>
      <w:tr>
        <w:tc>
          <w:tcPr/>
          <w:p>
            <w:pPr>
              <w:pStyle w:val="Compact"/>
              <w:jc w:val="left"/>
            </w:pPr>
            <w:r>
              <w:t xml:space="preserve">Emily White</w:t>
            </w:r>
          </w:p>
        </w:tc>
        <w:tc>
          <w:tcPr/>
          <w:p>
            <w:pPr>
              <w:pStyle w:val="Compact"/>
              <w:jc w:val="left"/>
            </w:pPr>
            <w:r>
              <w:t xml:space="preserve">Safety Officer</w:t>
            </w:r>
          </w:p>
        </w:tc>
        <w:tc>
          <w:tcPr/>
          <w:p>
            <w:pPr>
              <w:pStyle w:val="Compact"/>
            </w:pPr>
          </w:p>
        </w:tc>
        <w:tc>
          <w:tcPr/>
          <w:p>
            <w:pPr>
              <w:pStyle w:val="Compact"/>
            </w:pPr>
          </w:p>
        </w:tc>
      </w:tr>
    </w:tbl>
    <w:p>
      <w:pPr>
        <w:pStyle w:val="BodyText"/>
      </w:pPr>
      <w:r>
        <w:rPr>
          <w:iCs/>
          <w:i/>
        </w:rPr>
        <w:t xml:space="preserve">This document is the property of the University of Toronto and is intended for use in the context of Petroleum Engineering research and development in Canada, Toronto.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Enhanced Oil Recovery Simulation - Toronto, Canada</dc:title>
  <dc:creator/>
  <dc:language>en</dc:language>
  <cp:keywords/>
  <dcterms:created xsi:type="dcterms:W3CDTF">2026-10-10T00:31:39Z</dcterms:created>
  <dcterms:modified xsi:type="dcterms:W3CDTF">2026-10-10T00:31:39Z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