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Enhanced</w:t>
      </w:r>
      <w:r>
        <w:t xml:space="preserve"> </w:t>
      </w:r>
      <w:r>
        <w:t xml:space="preserve">Oil</w:t>
      </w:r>
      <w:r>
        <w:t xml:space="preserve"> </w:t>
      </w:r>
      <w:r>
        <w:t xml:space="preserve">Recovery</w:t>
      </w:r>
      <w:r>
        <w:t xml:space="preserve"> </w:t>
      </w:r>
      <w:r>
        <w:t xml:space="preserve">in</w:t>
      </w:r>
      <w:r>
        <w:t xml:space="preserve"> </w:t>
      </w:r>
      <w:r>
        <w:t xml:space="preserve">Western</w:t>
      </w:r>
      <w:r>
        <w:t xml:space="preserve"> </w:t>
      </w:r>
      <w:r>
        <w:t xml:space="preserve">Canadian</w:t>
      </w:r>
      <w:r>
        <w:t xml:space="preserve"> </w:t>
      </w:r>
      <w:r>
        <w:t xml:space="preserve">Sedimentary</w:t>
      </w:r>
      <w:r>
        <w:t xml:space="preserve"> </w:t>
      </w:r>
      <w:r>
        <w:t xml:space="preserve">Basin</w:t>
      </w:r>
    </w:p>
    <w:bookmarkStart w:id="33" w:name="Xba5d94309c9618f70924606fa8da531842f0ff8"/>
    <w:p>
      <w:pPr>
        <w:pStyle w:val="Heading1"/>
      </w:pPr>
      <w:r>
        <w:t xml:space="preserve">Experiment Protocol: CO2-Assisted Steam-Assisted Gravity Drainage (SAGD) Optimization</w:t>
      </w:r>
    </w:p>
    <w:p>
      <w:pPr>
        <w:pStyle w:val="FirstParagraph"/>
      </w:pPr>
      <w:r>
        <w:rPr>
          <w:bCs/>
          <w:b/>
        </w:rPr>
        <w:t xml:space="preserve">Project Title:</w:t>
      </w:r>
      <w:r>
        <w:t xml:space="preserve"> </w:t>
      </w:r>
      <w:r>
        <w:t xml:space="preserve">Enhanced Oil Recovery (EOR) Efficiency Analysis in Heavy Oil Reservoirs</w:t>
      </w:r>
    </w:p>
    <w:p>
      <w:pPr>
        <w:pStyle w:val="BodyText"/>
      </w:pPr>
      <w:r>
        <w:rPr>
          <w:bCs/>
          <w:b/>
        </w:rPr>
        <w:t xml:space="preserve">Location:</w:t>
      </w:r>
      <w:r>
        <w:t xml:space="preserve"> </w:t>
      </w:r>
      <w:r>
        <w:t xml:space="preserve">Petroleum Engineering Research Laboratory, Vancouver, British Columbia, Canada</w:t>
      </w:r>
    </w:p>
    <w:p>
      <w:pPr>
        <w:pStyle w:val="BodyText"/>
      </w:pPr>
      <w:r>
        <w:rPr>
          <w:bCs/>
          <w:b/>
        </w:rPr>
        <w:t xml:space="preserve">Lead Petroleum Engineer:</w:t>
      </w:r>
      <w:r>
        <w:t xml:space="preserve"> </w:t>
      </w:r>
      <w:r>
        <w:t xml:space="preserve">[Name Redacted]</w:t>
      </w:r>
    </w:p>
    <w:p>
      <w:pPr>
        <w:pStyle w:val="BodyText"/>
      </w:pPr>
      <w:r>
        <w:rPr>
          <w:bCs/>
          <w:b/>
        </w:rPr>
        <w:t xml:space="preserve">Date:</w:t>
      </w:r>
      <w:r>
        <w:t xml:space="preserve"> </w:t>
      </w:r>
      <w:r>
        <w:t xml:space="preserve">October 24, 2023</w:t>
      </w:r>
    </w:p>
    <w:p>
      <w:pPr>
        <w:pStyle w:val="BodyText"/>
      </w:pPr>
      <w:r>
        <w:rPr>
          <w:bCs/>
          <w:b/>
        </w:rPr>
        <w:t xml:space="preserve">Protocol Version:</w:t>
      </w:r>
      <w:r>
        <w:t xml:space="preserve"> </w:t>
      </w:r>
      <w:r>
        <w:t xml:space="preserve">1.4</w:t>
      </w:r>
    </w:p>
    <w:bookmarkStart w:id="20" w:name="introduction-and-objective"/>
    <w:p>
      <w:pPr>
        <w:pStyle w:val="Heading2"/>
      </w:pPr>
      <w:r>
        <w:t xml:space="preserve">1. Introduction and Objective</w:t>
      </w:r>
    </w:p>
    <w:p>
      <w:pPr>
        <w:pStyle w:val="FirstParagraph"/>
      </w:pPr>
      <w:r>
        <w:t xml:space="preserve">This Experiment Protocol outlines the standardized procedures for evaluating the efficacy of CO2 injection into Steam-Assisted Gravity Drainage (SAGD) processes. As a Petroleum Engineer operating within the regulatory and environmental framework of Canada, specifically in the Vancouver region, this study aims to reduce the steam-to-oil ratio (SOR) and mitigate greenhouse gas emissions associated with heavy oil extraction from the Western Canadian Sedimentary Basin (WCSB).</w:t>
      </w:r>
    </w:p>
    <w:p>
      <w:pPr>
        <w:pStyle w:val="BodyText"/>
      </w:pPr>
      <w:r>
        <w:t xml:space="preserve">The primary objective is to determine the optimal CO2 injection rate that maximizes bitumen recovery while maintaining reservoir pressure integrity. This protocol is designed to be replicated in high-pressure, high-temperature (HPHT) simulation chambers located at the research facility in Vancouver.</w:t>
      </w:r>
    </w:p>
    <w:bookmarkEnd w:id="20"/>
    <w:bookmarkStart w:id="21" w:name="scope-and-applicability"/>
    <w:p>
      <w:pPr>
        <w:pStyle w:val="Heading2"/>
      </w:pPr>
      <w:r>
        <w:t xml:space="preserve">2. Scope and Applicability</w:t>
      </w:r>
    </w:p>
    <w:p>
      <w:pPr>
        <w:pStyle w:val="FirstParagraph"/>
      </w:pPr>
      <w:r>
        <w:t xml:space="preserve">This protocol applies to all laboratory-scale experiments conducted by the Petroleum Engineering team in Vancouver. It covers the preparation of core samples, the setup of the flow loop, the execution of the injection phase, and the post-experiment data analysis. All personnel must adhere to the safety standards set by WorkSafeBC and the environmental guidelines established by the British Columbia Oil and Gas Commission.</w:t>
      </w:r>
    </w:p>
    <w:bookmarkEnd w:id="21"/>
    <w:bookmarkStart w:id="22" w:name="safety-and-environmental-considerations"/>
    <w:p>
      <w:pPr>
        <w:pStyle w:val="Heading2"/>
      </w:pPr>
      <w:r>
        <w:t xml:space="preserve">3. Safety and Environmental Considerations</w:t>
      </w:r>
    </w:p>
    <w:p>
      <w:pPr>
        <w:pStyle w:val="FirstParagraph"/>
      </w:pPr>
      <w:r>
        <w:t xml:space="preserve">Given the hazardous nature of high-pressure gases and hydrocarbons, strict safety measures are mandatory.</w:t>
      </w:r>
    </w:p>
    <w:p>
      <w:pPr>
        <w:numPr>
          <w:ilvl w:val="0"/>
          <w:numId w:val="1001"/>
        </w:numPr>
        <w:pStyle w:val="Compact"/>
      </w:pPr>
      <w:r>
        <w:rPr>
          <w:bCs/>
          <w:b/>
        </w:rPr>
        <w:t xml:space="preserve">Personal Protective Equipment (PPE):</w:t>
      </w:r>
      <w:r>
        <w:t xml:space="preserve"> </w:t>
      </w:r>
      <w:r>
        <w:t xml:space="preserve">All Petroleum Engineers and technicians must wear heat-resistant gloves, safety goggles, face shields, and steel-toed boots.</w:t>
      </w:r>
    </w:p>
    <w:p>
      <w:pPr>
        <w:numPr>
          <w:ilvl w:val="0"/>
          <w:numId w:val="1001"/>
        </w:numPr>
        <w:pStyle w:val="Compact"/>
      </w:pPr>
      <w:r>
        <w:rPr>
          <w:bCs/>
          <w:b/>
        </w:rPr>
        <w:t xml:space="preserve">Gas Detection:</w:t>
      </w:r>
      <w:r>
        <w:t xml:space="preserve"> </w:t>
      </w:r>
      <w:r>
        <w:t xml:space="preserve">Continuous monitoring for CO2 and H2S leaks is required in the Vancouver laboratory facility.</w:t>
      </w:r>
    </w:p>
    <w:p>
      <w:pPr>
        <w:numPr>
          <w:ilvl w:val="0"/>
          <w:numId w:val="1001"/>
        </w:numPr>
        <w:pStyle w:val="Compact"/>
      </w:pPr>
      <w:r>
        <w:rPr>
          <w:bCs/>
          <w:b/>
        </w:rPr>
        <w:t xml:space="preserve">Emergency Procedures:</w:t>
      </w:r>
      <w:r>
        <w:t xml:space="preserve"> </w:t>
      </w:r>
      <w:r>
        <w:t xml:space="preserve">In the event of a pressure breach, the emergency shutdown (ESD) system must be activated immediately. Evacuation routes specific to the Vancouver site must be memorized by all staff.</w:t>
      </w:r>
    </w:p>
    <w:p>
      <w:pPr>
        <w:numPr>
          <w:ilvl w:val="0"/>
          <w:numId w:val="1001"/>
        </w:numPr>
        <w:pStyle w:val="Compact"/>
      </w:pPr>
      <w:r>
        <w:rPr>
          <w:bCs/>
          <w:b/>
        </w:rPr>
        <w:t xml:space="preserve">Waste Disposal:</w:t>
      </w:r>
      <w:r>
        <w:t xml:space="preserve"> </w:t>
      </w:r>
      <w:r>
        <w:t xml:space="preserve">All hydrocarbon waste must be disposed of according to BC Ministry of Environment regulations.</w:t>
      </w:r>
    </w:p>
    <w:bookmarkEnd w:id="22"/>
    <w:bookmarkStart w:id="23" w:name="materials-and-equipment"/>
    <w:p>
      <w:pPr>
        <w:pStyle w:val="Heading2"/>
      </w:pPr>
      <w:r>
        <w:t xml:space="preserve">4. Materials and Equipment</w:t>
      </w:r>
    </w:p>
    <w:p>
      <w:pPr>
        <w:pStyle w:val="FirstParagraph"/>
      </w:pPr>
      <w:r>
        <w:t xml:space="preserve">The following equipment is required for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Core Holder</w:t>
            </w:r>
          </w:p>
        </w:tc>
        <w:tc>
          <w:tcPr/>
          <w:p>
            <w:pPr>
              <w:pStyle w:val="Compact"/>
              <w:jc w:val="left"/>
            </w:pPr>
            <w:r>
              <w:t xml:space="preserve">HPHT capable, 10,000 psi rating</w:t>
            </w:r>
          </w:p>
        </w:tc>
        <w:tc>
          <w:tcPr/>
          <w:p>
            <w:pPr>
              <w:pStyle w:val="Compact"/>
              <w:jc w:val="left"/>
            </w:pPr>
            <w:r>
              <w:t xml:space="preserve">2</w:t>
            </w:r>
          </w:p>
        </w:tc>
      </w:tr>
      <w:tr>
        <w:tc>
          <w:tcPr/>
          <w:p>
            <w:pPr>
              <w:pStyle w:val="Compact"/>
              <w:jc w:val="left"/>
            </w:pPr>
            <w:r>
              <w:t xml:space="preserve">Bitumen Core Samples</w:t>
            </w:r>
          </w:p>
        </w:tc>
        <w:tc>
          <w:tcPr/>
          <w:p>
            <w:pPr>
              <w:pStyle w:val="Compact"/>
              <w:jc w:val="left"/>
            </w:pPr>
            <w:r>
              <w:t xml:space="preserve">Sourced from WCSB, 5 cm diameter, 10 cm length</w:t>
            </w:r>
          </w:p>
        </w:tc>
        <w:tc>
          <w:tcPr/>
          <w:p>
            <w:pPr>
              <w:pStyle w:val="Compact"/>
              <w:jc w:val="left"/>
            </w:pPr>
            <w:r>
              <w:t xml:space="preserve">4</w:t>
            </w:r>
          </w:p>
        </w:tc>
      </w:tr>
      <w:tr>
        <w:tc>
          <w:tcPr/>
          <w:p>
            <w:pPr>
              <w:pStyle w:val="Compact"/>
              <w:jc w:val="left"/>
            </w:pPr>
            <w:r>
              <w:t xml:space="preserve">CO2 Supply</w:t>
            </w:r>
          </w:p>
        </w:tc>
        <w:tc>
          <w:tcPr/>
          <w:p>
            <w:pPr>
              <w:pStyle w:val="Compact"/>
              <w:jc w:val="left"/>
            </w:pPr>
            <w:r>
              <w:t xml:space="preserve">Food grade, 99.9% purity</w:t>
            </w:r>
          </w:p>
        </w:tc>
        <w:tc>
          <w:tcPr/>
          <w:p>
            <w:pPr>
              <w:pStyle w:val="Compact"/>
              <w:jc w:val="left"/>
            </w:pPr>
            <w:r>
              <w:t xml:space="preserve">1 Cylinder</w:t>
            </w:r>
          </w:p>
        </w:tc>
      </w:tr>
      <w:tr>
        <w:tc>
          <w:tcPr/>
          <w:p>
            <w:pPr>
              <w:pStyle w:val="Compact"/>
              <w:jc w:val="left"/>
            </w:pPr>
            <w:r>
              <w:t xml:space="preserve">Steam Generator</w:t>
            </w:r>
          </w:p>
        </w:tc>
        <w:tc>
          <w:tcPr/>
          <w:p>
            <w:pPr>
              <w:pStyle w:val="Compact"/>
              <w:jc w:val="left"/>
            </w:pPr>
            <w:r>
              <w:t xml:space="preserve">Variable temperature, up to 350°C</w:t>
            </w:r>
          </w:p>
        </w:tc>
        <w:tc>
          <w:tcPr/>
          <w:p>
            <w:pPr>
              <w:pStyle w:val="Compact"/>
              <w:jc w:val="left"/>
            </w:pPr>
            <w:r>
              <w:t xml:space="preserve">1</w:t>
            </w:r>
          </w:p>
        </w:tc>
      </w:tr>
      <w:tr>
        <w:tc>
          <w:tcPr/>
          <w:p>
            <w:pPr>
              <w:pStyle w:val="Compact"/>
              <w:jc w:val="left"/>
            </w:pPr>
            <w:r>
              <w:t xml:space="preserve">Pressure Transducers</w:t>
            </w:r>
          </w:p>
        </w:tc>
        <w:tc>
          <w:tcPr/>
          <w:p>
            <w:pPr>
              <w:pStyle w:val="Compact"/>
              <w:jc w:val="left"/>
            </w:pPr>
            <w:r>
              <w:t xml:space="preserve">High-precision, calibrated</w:t>
            </w:r>
          </w:p>
        </w:tc>
        <w:tc>
          <w:tcPr/>
          <w:p>
            <w:pPr>
              <w:pStyle w:val="Compact"/>
              <w:jc w:val="left"/>
            </w:pPr>
            <w:r>
              <w:t xml:space="preserve">4</w:t>
            </w:r>
          </w:p>
        </w:tc>
      </w:tr>
      <w:tr>
        <w:tc>
          <w:tcPr/>
          <w:p>
            <w:pPr>
              <w:pStyle w:val="Compact"/>
              <w:jc w:val="left"/>
            </w:pPr>
            <w:r>
              <w:t xml:space="preserve">Data Acquisition System</w:t>
            </w:r>
          </w:p>
        </w:tc>
        <w:tc>
          <w:tcPr/>
          <w:p>
            <w:pPr>
              <w:pStyle w:val="Compact"/>
              <w:jc w:val="left"/>
            </w:pPr>
            <w:r>
              <w:t xml:space="preserve">Real-time logging software</w:t>
            </w:r>
          </w:p>
        </w:tc>
        <w:tc>
          <w:tcPr/>
          <w:p>
            <w:pPr>
              <w:pStyle w:val="Compact"/>
              <w:jc w:val="left"/>
            </w:pPr>
            <w:r>
              <w:t xml:space="preserve">1</w:t>
            </w:r>
          </w:p>
        </w:tc>
      </w:tr>
    </w:tbl>
    <w:bookmarkEnd w:id="23"/>
    <w:bookmarkStart w:id="29" w:name="experimental-procedure"/>
    <w:p>
      <w:pPr>
        <w:pStyle w:val="Heading2"/>
      </w:pPr>
      <w:r>
        <w:t xml:space="preserve">5. Experimental Procedure</w:t>
      </w:r>
    </w:p>
    <w:bookmarkStart w:id="24" w:name="sample-preparation"/>
    <w:p>
      <w:pPr>
        <w:pStyle w:val="Heading3"/>
      </w:pPr>
      <w:r>
        <w:t xml:space="preserve">5.1 Sample Preparation</w:t>
      </w:r>
    </w:p>
    <w:p>
      <w:pPr>
        <w:pStyle w:val="FirstParagraph"/>
      </w:pPr>
      <w:r>
        <w:t xml:space="preserve">The Petroleum Engineer must first prepare the bitumen core samples. Each core should be saturated with reservoir brine to simulate in-situ conditions. The samples are then placed in the core holder and sealed. Ensure that the confining pressure is set to 5,000 psi to mimic the overburden pressure of the target reservoir.</w:t>
      </w:r>
    </w:p>
    <w:bookmarkEnd w:id="24"/>
    <w:bookmarkStart w:id="25" w:name="baseline-measurement"/>
    <w:p>
      <w:pPr>
        <w:pStyle w:val="Heading3"/>
      </w:pPr>
      <w:r>
        <w:t xml:space="preserve">5.2 Baseline Measurement</w:t>
      </w:r>
    </w:p>
    <w:p>
      <w:pPr>
        <w:pStyle w:val="FirstParagraph"/>
      </w:pPr>
      <w:r>
        <w:t xml:space="preserve">Before initiating the SAGD process, record the initial permeability and porosity of the core samples. This baseline data is crucial for comparing the effects of CO2 injection later in the experiment.</w:t>
      </w:r>
    </w:p>
    <w:bookmarkEnd w:id="25"/>
    <w:bookmarkStart w:id="26" w:name="steam-injection-phase"/>
    <w:p>
      <w:pPr>
        <w:pStyle w:val="Heading3"/>
      </w:pPr>
      <w:r>
        <w:t xml:space="preserve">5.3 Steam Injection Phase</w:t>
      </w:r>
    </w:p>
    <w:p>
      <w:pPr>
        <w:pStyle w:val="FirstParagraph"/>
      </w:pPr>
      <w:r>
        <w:t xml:space="preserve">Begin the steam injection at a controlled rate of 0.5 mL/min. Maintain the steam temperature at 280°C. Monitor the pressure drop across the core and the volume of produced bitumen. Continue this phase until the production rate stabilizes, indicating that the steam chamber has reached a steady state.</w:t>
      </w:r>
    </w:p>
    <w:bookmarkEnd w:id="26"/>
    <w:bookmarkStart w:id="27" w:name="co2-injection-phase"/>
    <w:p>
      <w:pPr>
        <w:pStyle w:val="Heading3"/>
      </w:pPr>
      <w:r>
        <w:t xml:space="preserve">5.4 CO2 Injection Phase</w:t>
      </w:r>
    </w:p>
    <w:p>
      <w:pPr>
        <w:pStyle w:val="FirstParagraph"/>
      </w:pPr>
      <w:r>
        <w:t xml:space="preserve">Once the baseline SAGD performance is established, introduce CO2 into the steam stream. Start with a CO2 concentration of 10% by volume. Gradually increase the concentration in increments of 5% up to 30%. At each increment, allow the system to stabilize for 24 hours before recording data. The Petroleum Engineer must closely monitor the viscosity reduction of the bitumen and the expansion of the steam chamber.</w:t>
      </w:r>
    </w:p>
    <w:bookmarkEnd w:id="27"/>
    <w:bookmarkStart w:id="28" w:name="data-collection"/>
    <w:p>
      <w:pPr>
        <w:pStyle w:val="Heading3"/>
      </w:pPr>
      <w:r>
        <w:t xml:space="preserve">5.5 Data Collection</w:t>
      </w:r>
    </w:p>
    <w:p>
      <w:pPr>
        <w:pStyle w:val="FirstParagraph"/>
      </w:pPr>
      <w:r>
        <w:t xml:space="preserve">Record the following parameters every hour:</w:t>
      </w:r>
    </w:p>
    <w:p>
      <w:pPr>
        <w:numPr>
          <w:ilvl w:val="0"/>
          <w:numId w:val="1002"/>
        </w:numPr>
        <w:pStyle w:val="Compact"/>
      </w:pPr>
      <w:r>
        <w:t xml:space="preserve">Injection pressure</w:t>
      </w:r>
    </w:p>
    <w:p>
      <w:pPr>
        <w:numPr>
          <w:ilvl w:val="0"/>
          <w:numId w:val="1002"/>
        </w:numPr>
        <w:pStyle w:val="Compact"/>
      </w:pPr>
      <w:r>
        <w:t xml:space="preserve">Production pressure</w:t>
      </w:r>
    </w:p>
    <w:p>
      <w:pPr>
        <w:numPr>
          <w:ilvl w:val="0"/>
          <w:numId w:val="1002"/>
        </w:numPr>
        <w:pStyle w:val="Compact"/>
      </w:pPr>
      <w:r>
        <w:t xml:space="preserve">Volume of produced bitumen</w:t>
      </w:r>
    </w:p>
    <w:p>
      <w:pPr>
        <w:numPr>
          <w:ilvl w:val="0"/>
          <w:numId w:val="1002"/>
        </w:numPr>
        <w:pStyle w:val="Compact"/>
      </w:pPr>
      <w:r>
        <w:t xml:space="preserve">Volume of produced water</w:t>
      </w:r>
    </w:p>
    <w:p>
      <w:pPr>
        <w:numPr>
          <w:ilvl w:val="0"/>
          <w:numId w:val="1002"/>
        </w:numPr>
        <w:pStyle w:val="Compact"/>
      </w:pPr>
      <w:r>
        <w:t xml:space="preserve">Temperature at the inlet and outlet of the core holder</w:t>
      </w:r>
    </w:p>
    <w:bookmarkEnd w:id="28"/>
    <w:bookmarkEnd w:id="29"/>
    <w:bookmarkStart w:id="30" w:name="data-analysis"/>
    <w:p>
      <w:pPr>
        <w:pStyle w:val="Heading2"/>
      </w:pPr>
      <w:r>
        <w:t xml:space="preserve">6. Data Analysis</w:t>
      </w:r>
    </w:p>
    <w:p>
      <w:pPr>
        <w:pStyle w:val="FirstParagraph"/>
      </w:pPr>
      <w:r>
        <w:t xml:space="preserve">After the experiment is complete, the Petroleum Engineer must analyze the collected data. Calculate the Steam-to-Oil Ratio (SOR) for each CO2 concentration level. Compare the SOR values to determine the optimal CO2 injection rate that minimizes energy consumption and maximizes oil recovery. Additionally, assess the environmental impact by calculating the net CO2 emissions for each scenario.</w:t>
      </w:r>
    </w:p>
    <w:bookmarkEnd w:id="30"/>
    <w:bookmarkStart w:id="31" w:name="reporting-and-documentation"/>
    <w:p>
      <w:pPr>
        <w:pStyle w:val="Heading2"/>
      </w:pPr>
      <w:r>
        <w:t xml:space="preserve">7. Reporting and Documentation</w:t>
      </w:r>
    </w:p>
    <w:p>
      <w:pPr>
        <w:pStyle w:val="FirstParagraph"/>
      </w:pPr>
      <w:r>
        <w:t xml:space="preserve">All findings must be documented in a comprehensive report. The report should include:</w:t>
      </w:r>
    </w:p>
    <w:p>
      <w:pPr>
        <w:numPr>
          <w:ilvl w:val="0"/>
          <w:numId w:val="1003"/>
        </w:numPr>
        <w:pStyle w:val="Compact"/>
      </w:pPr>
      <w:r>
        <w:t xml:space="preserve">Executive summary</w:t>
      </w:r>
    </w:p>
    <w:p>
      <w:pPr>
        <w:numPr>
          <w:ilvl w:val="0"/>
          <w:numId w:val="1003"/>
        </w:numPr>
        <w:pStyle w:val="Compact"/>
      </w:pPr>
      <w:r>
        <w:t xml:space="preserve">Methodology</w:t>
      </w:r>
    </w:p>
    <w:p>
      <w:pPr>
        <w:numPr>
          <w:ilvl w:val="0"/>
          <w:numId w:val="1003"/>
        </w:numPr>
        <w:pStyle w:val="Compact"/>
      </w:pPr>
      <w:r>
        <w:t xml:space="preserve">Results and discussion</w:t>
      </w:r>
    </w:p>
    <w:p>
      <w:pPr>
        <w:numPr>
          <w:ilvl w:val="0"/>
          <w:numId w:val="1003"/>
        </w:numPr>
        <w:pStyle w:val="Compact"/>
      </w:pPr>
      <w:r>
        <w:t xml:space="preserve">Conclusions and recommendations</w:t>
      </w:r>
    </w:p>
    <w:p>
      <w:pPr>
        <w:numPr>
          <w:ilvl w:val="0"/>
          <w:numId w:val="1003"/>
        </w:numPr>
        <w:pStyle w:val="Compact"/>
      </w:pPr>
      <w:r>
        <w:t xml:space="preserve">Appendices with raw data</w:t>
      </w:r>
    </w:p>
    <w:p>
      <w:pPr>
        <w:pStyle w:val="FirstParagraph"/>
      </w:pPr>
      <w:r>
        <w:t xml:space="preserve">The report will be submitted to the project stakeholders and may be used to inform future field trials in the WCSB. Ensure that all data is stored securely in accordance with the data management policies of the Vancouver research facility.</w:t>
      </w:r>
    </w:p>
    <w:bookmarkEnd w:id="31"/>
    <w:bookmarkStart w:id="32" w:name="conclusion"/>
    <w:p>
      <w:pPr>
        <w:pStyle w:val="Heading2"/>
      </w:pPr>
      <w:r>
        <w:t xml:space="preserve">8. Conclusion</w:t>
      </w:r>
    </w:p>
    <w:p>
      <w:pPr>
        <w:pStyle w:val="FirstParagraph"/>
      </w:pPr>
      <w:r>
        <w:t xml:space="preserve">This Experiment Protocol provides a rigorous framework for evaluating CO2-assisted SAGD processes. By adhering to these procedures, the Petroleum Engineering team in Vancouver can contribute valuable insights to the industry, promoting more efficient and environmentally sustainable oil recovery methods in Canada.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Enhanced Oil Recovery in Western Canadian Sedimentary Basin</dc:title>
  <dc:creator/>
  <dc:language>en</dc:language>
  <cp:keywords/>
  <dcterms:created xsi:type="dcterms:W3CDTF">2026-10-10T02:27:23Z</dcterms:created>
  <dcterms:modified xsi:type="dcterms:W3CDTF">2026-10-10T02:27:23Z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