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Guangzhou</w:t>
      </w:r>
      <w:r>
        <w:t xml:space="preserve"> </w:t>
      </w:r>
      <w:r>
        <w:t xml:space="preserve">Branch</w:t>
      </w:r>
    </w:p>
    <w:bookmarkStart w:id="20" w:name="Xefc23a61d0b05ac0e5a79870131e6dac05f9c39"/>
    <w:p>
      <w:pPr>
        <w:pStyle w:val="Heading1"/>
      </w:pPr>
      <w:r>
        <w:t xml:space="preserve">Experiment Protocol: Enhanced Oil Recovery (EOR) Simulation</w:t>
      </w:r>
    </w:p>
    <w:p>
      <w:pPr>
        <w:pStyle w:val="FirstParagraph"/>
      </w:pPr>
      <w:r>
        <w:rPr>
          <w:bCs/>
          <w:b/>
        </w:rPr>
        <w:t xml:space="preserve">Location:</w:t>
      </w:r>
      <w:r>
        <w:t xml:space="preserve"> </w:t>
      </w:r>
      <w:r>
        <w:t xml:space="preserve">China Guangzhou Advanced Petroleum Research Laboratory</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GZ-PE-EOR-2023-045</w:t>
      </w:r>
    </w:p>
    <w:p>
      <w:pPr>
        <w:pStyle w:val="BodyText"/>
      </w:pPr>
      <w:r>
        <w:rPr>
          <w:bCs/>
          <w:b/>
        </w:rPr>
        <w:t xml:space="preserve">Date:</w:t>
      </w:r>
      <w:r>
        <w:t xml:space="preserve"> </w:t>
      </w:r>
      <w:r>
        <w:t xml:space="preserve">October 24, 2023</w:t>
      </w:r>
    </w:p>
    <w:bookmarkEnd w:id="20"/>
    <w:p>
      <w:pPr>
        <w:pStyle w:val="BodyText"/>
      </w:pPr>
      <w:r>
        <w:t xml:space="preserve">1. Objective and Scope</w:t>
      </w:r>
    </w:p>
    <w:p>
      <w:pPr>
        <w:pStyle w:val="BodyText"/>
      </w:pPr>
      <w:r>
        <w:t xml:space="preserve">This Experiment Protocol outlines the standardized procedures for conducting laboratory-scale Enhanced Oil Recovery (EOR) simulations. The primary objective is to evaluate the efficacy of novel polymer flooding techniques on heavy crude oil reservoirs typical of the Pearl River Mouth Basin. This protocol is designed for use by the Petroleum Engineer team stationed at the China Guangzhou research facility. The study aims to optimize recovery factors while adhering to the stringent environmental and safety regulations enforced by the Chinese Ministry of Ecology and Environment.</w:t>
      </w:r>
    </w:p>
    <w:p>
      <w:pPr>
        <w:pStyle w:val="BodyText"/>
      </w:pPr>
      <w:r>
        <w:t xml:space="preserve">The scope of this experiment includes the preparation of core samples, saturation with synthetic brine and crude oil, and the subsequent injection of polymer solutions under controlled pressure and temperature conditions. The data generated will contribute to the broader strategic goals of increasing domestic energy security in the Greater Bay Area.</w:t>
      </w:r>
    </w:p>
    <w:p>
      <w:pPr>
        <w:pStyle w:val="BodyText"/>
      </w:pPr>
      <w:r>
        <w:t xml:space="preserve">2. Safety and Regulatory Compliance</w:t>
      </w:r>
    </w:p>
    <w:p>
      <w:pPr>
        <w:pStyle w:val="BodyText"/>
      </w:pPr>
      <w:r>
        <w:t xml:space="preserve">All personnel involved in this experiment must be certified Petroleum Engineers or trained laboratory technicians. Given the location in China Guangzhou, all operations must comply with the</w:t>
      </w:r>
      <w:r>
        <w:t xml:space="preserve"> </w:t>
      </w:r>
      <w:r>
        <w:rPr>
          <w:iCs/>
          <w:i/>
        </w:rPr>
        <w:t xml:space="preserve">Work Safety Law of the People's Republic of China</w:t>
      </w:r>
      <w:r>
        <w:t xml:space="preserve"> </w:t>
      </w:r>
      <w:r>
        <w:t xml:space="preserve">and local Guangdong Province industrial safety standards.</w:t>
      </w:r>
    </w:p>
    <w:p>
      <w:pPr>
        <w:numPr>
          <w:ilvl w:val="0"/>
          <w:numId w:val="1001"/>
        </w:numPr>
        <w:pStyle w:val="Compact"/>
      </w:pPr>
      <w:r>
        <w:rPr>
          <w:bCs/>
          <w:b/>
        </w:rPr>
        <w:t xml:space="preserve">Personal Protective Equipment (PPE):</w:t>
      </w:r>
      <w:r>
        <w:t xml:space="preserve"> </w:t>
      </w:r>
      <w:r>
        <w:t xml:space="preserve">Lab coats, safety goggles, nitrile gloves, and steel-toed boots are mandatory within the laboratory zone.</w:t>
      </w:r>
    </w:p>
    <w:p>
      <w:pPr>
        <w:numPr>
          <w:ilvl w:val="0"/>
          <w:numId w:val="1001"/>
        </w:numPr>
        <w:pStyle w:val="Compact"/>
      </w:pPr>
      <w:r>
        <w:rPr>
          <w:bCs/>
          <w:b/>
        </w:rPr>
        <w:t xml:space="preserve">Chemical Handling:</w:t>
      </w:r>
      <w:r>
        <w:t xml:space="preserve"> </w:t>
      </w:r>
      <w:r>
        <w:t xml:space="preserve">All polymers and solvents must be handled in designated fume hoods to prevent inhalation of volatile organic compounds (VOCs).</w:t>
      </w:r>
    </w:p>
    <w:p>
      <w:pPr>
        <w:numPr>
          <w:ilvl w:val="0"/>
          <w:numId w:val="1001"/>
        </w:numPr>
        <w:pStyle w:val="Compact"/>
      </w:pPr>
      <w:r>
        <w:rPr>
          <w:bCs/>
          <w:b/>
        </w:rPr>
        <w:t xml:space="preserve">Emergency Procedures:</w:t>
      </w:r>
      <w:r>
        <w:t xml:space="preserve"> </w:t>
      </w:r>
      <w:r>
        <w:t xml:space="preserve">In the event of a spill or fire, personnel must immediately activate the emergency shutdown system and contact the facility safety officer. Evacuation routes specific to the Guangzhou campus must be memorized by all staff.</w:t>
      </w:r>
    </w:p>
    <w:p>
      <w:pPr>
        <w:pStyle w:val="FirstParagraph"/>
      </w:pPr>
      <w:r>
        <w:t xml:space="preserve">3. Materials and Equipment</w:t>
      </w:r>
    </w:p>
    <w:p>
      <w:pPr>
        <w:pStyle w:val="BodyText"/>
      </w:pPr>
      <w:r>
        <w:t xml:space="preserve">The following equipment and materials are required to execute this protocol. All equipment must be calibrated according to ISO standards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Holder</w:t>
            </w:r>
          </w:p>
        </w:tc>
        <w:tc>
          <w:tcPr/>
          <w:p>
            <w:pPr>
              <w:pStyle w:val="Compact"/>
              <w:jc w:val="left"/>
            </w:pPr>
            <w:r>
              <w:t xml:space="preserve">High-pressure, temperature-resistant (up to 150°C)</w:t>
            </w:r>
          </w:p>
        </w:tc>
        <w:tc>
          <w:tcPr/>
          <w:p>
            <w:pPr>
              <w:pStyle w:val="Compact"/>
              <w:jc w:val="left"/>
            </w:pPr>
            <w:r>
              <w:t xml:space="preserve">4</w:t>
            </w:r>
          </w:p>
        </w:tc>
      </w:tr>
      <w:tr>
        <w:tc>
          <w:tcPr/>
          <w:p>
            <w:pPr>
              <w:pStyle w:val="Compact"/>
              <w:jc w:val="left"/>
            </w:pPr>
            <w:r>
              <w:t xml:space="preserve">Core Samples</w:t>
            </w:r>
          </w:p>
        </w:tc>
        <w:tc>
          <w:tcPr/>
          <w:p>
            <w:pPr>
              <w:pStyle w:val="Compact"/>
              <w:jc w:val="left"/>
            </w:pPr>
            <w:r>
              <w:t xml:space="preserve">Sandstone cores from Pearl River Mouth Basin (5cm diameter, 10cm length)</w:t>
            </w:r>
          </w:p>
        </w:tc>
        <w:tc>
          <w:tcPr/>
          <w:p>
            <w:pPr>
              <w:pStyle w:val="Compact"/>
              <w:jc w:val="left"/>
            </w:pPr>
            <w:r>
              <w:t xml:space="preserve">12</w:t>
            </w:r>
          </w:p>
        </w:tc>
      </w:tr>
      <w:tr>
        <w:tc>
          <w:tcPr/>
          <w:p>
            <w:pPr>
              <w:pStyle w:val="Compact"/>
              <w:jc w:val="left"/>
            </w:pPr>
            <w:r>
              <w:t xml:space="preserve">Piston Pump</w:t>
            </w:r>
          </w:p>
        </w:tc>
        <w:tc>
          <w:tcPr/>
          <w:p>
            <w:pPr>
              <w:pStyle w:val="Compact"/>
              <w:jc w:val="left"/>
            </w:pPr>
            <w:r>
              <w:t xml:space="preserve">High-precision, capable of maintaining constant flow rate</w:t>
            </w:r>
          </w:p>
        </w:tc>
        <w:tc>
          <w:tcPr/>
          <w:p>
            <w:pPr>
              <w:pStyle w:val="Compact"/>
              <w:jc w:val="left"/>
            </w:pPr>
            <w:r>
              <w:t xml:space="preserve">2</w:t>
            </w:r>
          </w:p>
        </w:tc>
      </w:tr>
      <w:tr>
        <w:tc>
          <w:tcPr/>
          <w:p>
            <w:pPr>
              <w:pStyle w:val="Compact"/>
              <w:jc w:val="left"/>
            </w:pPr>
            <w:r>
              <w:t xml:space="preserve">Polymer Solution</w:t>
            </w:r>
          </w:p>
        </w:tc>
        <w:tc>
          <w:tcPr/>
          <w:p>
            <w:pPr>
              <w:pStyle w:val="Compact"/>
              <w:jc w:val="left"/>
            </w:pPr>
            <w:r>
              <w:t xml:space="preserve">Partially Hydrolyzed Polyacrylamide (HPAM), 1000 ppm</w:t>
            </w:r>
          </w:p>
        </w:tc>
        <w:tc>
          <w:tcPr/>
          <w:p>
            <w:pPr>
              <w:pStyle w:val="Compact"/>
              <w:jc w:val="left"/>
            </w:pPr>
            <w:r>
              <w:t xml:space="preserve">50 Liters</w:t>
            </w:r>
          </w:p>
        </w:tc>
      </w:tr>
      <w:tr>
        <w:tc>
          <w:tcPr/>
          <w:p>
            <w:pPr>
              <w:pStyle w:val="Compact"/>
              <w:jc w:val="left"/>
            </w:pPr>
            <w:r>
              <w:t xml:space="preserve">Crude Oil</w:t>
            </w:r>
          </w:p>
        </w:tc>
        <w:tc>
          <w:tcPr/>
          <w:p>
            <w:pPr>
              <w:pStyle w:val="Compact"/>
              <w:jc w:val="left"/>
            </w:pPr>
            <w:r>
              <w:t xml:space="preserve">Heavy crude, viscosity 500 cP at reservoir temperature</w:t>
            </w:r>
          </w:p>
        </w:tc>
        <w:tc>
          <w:tcPr/>
          <w:p>
            <w:pPr>
              <w:pStyle w:val="Compact"/>
              <w:jc w:val="left"/>
            </w:pPr>
            <w:r>
              <w:t xml:space="preserve">20 Liters</w:t>
            </w:r>
          </w:p>
        </w:tc>
      </w:tr>
      <w:tr>
        <w:tc>
          <w:tcPr/>
          <w:p>
            <w:pPr>
              <w:pStyle w:val="Compact"/>
              <w:jc w:val="left"/>
            </w:pPr>
            <w:r>
              <w:t xml:space="preserve">Synthetic Brine</w:t>
            </w:r>
          </w:p>
        </w:tc>
        <w:tc>
          <w:tcPr/>
          <w:p>
            <w:pPr>
              <w:pStyle w:val="Compact"/>
              <w:jc w:val="left"/>
            </w:pPr>
            <w:r>
              <w:t xml:space="preserve">Salinity matching reservoir conditions (30,000 ppm TDS)</w:t>
            </w:r>
          </w:p>
        </w:tc>
        <w:tc>
          <w:tcPr/>
          <w:p>
            <w:pPr>
              <w:pStyle w:val="Compact"/>
              <w:jc w:val="left"/>
            </w:pPr>
            <w:r>
              <w:t xml:space="preserve">100 Liters</w:t>
            </w:r>
          </w:p>
        </w:tc>
      </w:tr>
    </w:tbl>
    <w:p>
      <w:pPr>
        <w:pStyle w:val="BodyText"/>
      </w:pPr>
      <w:r>
        <w:t xml:space="preserve">4. Experimental Procedure</w:t>
      </w:r>
    </w:p>
    <w:p>
      <w:pPr>
        <w:pStyle w:val="BodyText"/>
      </w:pPr>
      <w:r>
        <w:t xml:space="preserve">The Petroleum Engineer overseeing the experiment must follow these steps sequentially. Deviations must be documented and approved by the laboratory director.</w:t>
      </w:r>
    </w:p>
    <w:bookmarkStart w:id="21" w:name="core-sample-preparation"/>
    <w:p>
      <w:pPr>
        <w:pStyle w:val="Heading3"/>
      </w:pPr>
      <w:r>
        <w:t xml:space="preserve">4.1. Core Sample Preparation</w:t>
      </w:r>
    </w:p>
    <w:p>
      <w:pPr>
        <w:pStyle w:val="FirstParagraph"/>
      </w:pPr>
      <w:r>
        <w:t xml:space="preserve">Clean the sandstone core samples using toluene and methanol to remove any existing hydrocarbons. Dry the cores in an oven at 60°C for 24 hours. Measure the dry weight and dimensions of each core to calculate porosity and permeability.</w:t>
      </w:r>
    </w:p>
    <w:bookmarkEnd w:id="21"/>
    <w:bookmarkStart w:id="22" w:name="saturation-process"/>
    <w:p>
      <w:pPr>
        <w:pStyle w:val="Heading3"/>
      </w:pPr>
      <w:r>
        <w:t xml:space="preserve">4.2. Saturation Process</w:t>
      </w:r>
    </w:p>
    <w:p>
      <w:pPr>
        <w:pStyle w:val="FirstParagraph"/>
      </w:pPr>
      <w:r>
        <w:t xml:space="preserve">Place the dried cores into the core holders. Saturate the cores with synthetic brine under vacuum to ensure complete pore filling. Subsequently, displace the brine with crude oil to simulate initial reservoir conditions. Record the volume of oil injected to determine oil saturation.</w:t>
      </w:r>
    </w:p>
    <w:bookmarkEnd w:id="22"/>
    <w:bookmarkStart w:id="23" w:name="water-flooding-phase"/>
    <w:p>
      <w:pPr>
        <w:pStyle w:val="Heading3"/>
      </w:pPr>
      <w:r>
        <w:t xml:space="preserve">4.3. Water Flooding Phase</w:t>
      </w:r>
    </w:p>
    <w:p>
      <w:pPr>
        <w:pStyle w:val="FirstParagraph"/>
      </w:pPr>
      <w:r>
        <w:t xml:space="preserve">Initiate water flooding by injecting synthetic brine at a constant rate of 1 mL/min. Maintain the system at a reservoir temperature of 80°C and a confining pressure of 10 MPa. Continue injection until the water cut reaches 98%. Record pressure drop and cumulative oil production.</w:t>
      </w:r>
    </w:p>
    <w:bookmarkEnd w:id="23"/>
    <w:bookmarkStart w:id="24" w:name="polymer-flooding-phase"/>
    <w:p>
      <w:pPr>
        <w:pStyle w:val="Heading3"/>
      </w:pPr>
      <w:r>
        <w:t xml:space="preserve">4.4. Polymer Flooding Phase</w:t>
      </w:r>
    </w:p>
    <w:p>
      <w:pPr>
        <w:pStyle w:val="FirstParagraph"/>
      </w:pPr>
      <w:r>
        <w:t xml:space="preserve">Switch the injection fluid to the HPAM polymer solution. Maintain the same flow rate and pressure conditions. Monitor the viscosity of the effluent and the incremental oil recovery. This phase is critical for assessing the mobility control capabilities of the polymer in the specific geological context of the Guangzhou region's offshore fields.</w:t>
      </w:r>
    </w:p>
    <w:bookmarkEnd w:id="24"/>
    <w:p>
      <w:pPr>
        <w:pStyle w:val="BodyText"/>
      </w:pPr>
      <w:r>
        <w:t xml:space="preserve">5. Data Collection and Analysis</w:t>
      </w:r>
    </w:p>
    <w:p>
      <w:pPr>
        <w:pStyle w:val="BodyText"/>
      </w:pPr>
      <w:r>
        <w:t xml:space="preserve">Data must be recorded continuously using the laboratory's automated data acquisition system. Key parameters include:</w:t>
      </w:r>
    </w:p>
    <w:p>
      <w:pPr>
        <w:numPr>
          <w:ilvl w:val="0"/>
          <w:numId w:val="1002"/>
        </w:numPr>
        <w:pStyle w:val="Compact"/>
      </w:pPr>
      <w:r>
        <w:t xml:space="preserve">Pressure differential across the core sample.</w:t>
      </w:r>
    </w:p>
    <w:p>
      <w:pPr>
        <w:numPr>
          <w:ilvl w:val="0"/>
          <w:numId w:val="1002"/>
        </w:numPr>
        <w:pStyle w:val="Compact"/>
      </w:pPr>
      <w:r>
        <w:t xml:space="preserve">Cumulative volume of oil and water produced.</w:t>
      </w:r>
    </w:p>
    <w:p>
      <w:pPr>
        <w:numPr>
          <w:ilvl w:val="0"/>
          <w:numId w:val="1002"/>
        </w:numPr>
        <w:pStyle w:val="Compact"/>
      </w:pPr>
      <w:r>
        <w:t xml:space="preserve">Viscosity of the injected and produced fluids.</w:t>
      </w:r>
    </w:p>
    <w:p>
      <w:pPr>
        <w:pStyle w:val="FirstParagraph"/>
      </w:pPr>
      <w:r>
        <w:t xml:space="preserve">The Petroleum Engineer must analyze the data to calculate the recovery factor, sweep efficiency, and polymer retention in the core. Results should be compared against baseline water flooding data to quantify the enhancement provided by the EOR technique.</w:t>
      </w:r>
    </w:p>
    <w:p>
      <w:pPr>
        <w:pStyle w:val="BodyText"/>
      </w:pPr>
      <w:r>
        <w:t xml:space="preserve">6. Waste Disposal and Environmental Considerations</w:t>
      </w:r>
    </w:p>
    <w:p>
      <w:pPr>
        <w:pStyle w:val="BodyText"/>
      </w:pPr>
      <w:r>
        <w:t xml:space="preserve">In alignment with China's environmental protection policies, all waste materials must be disposed of properly. Used core samples, contaminated brine, and polymer residues are classified as hazardous waste. They must be stored in labeled containers and disposed of through licensed waste management facilities in Guangzhou. No chemical waste is to be discharged into the municipal sewage system.</w:t>
      </w:r>
    </w:p>
    <w:p>
      <w:pPr>
        <w:pStyle w:val="BodyText"/>
      </w:pPr>
      <w:r>
        <w:t xml:space="preserve">7. Conclusion and Reporting</w:t>
      </w:r>
    </w:p>
    <w:p>
      <w:pPr>
        <w:pStyle w:val="BodyText"/>
      </w:pPr>
      <w:r>
        <w:t xml:space="preserve">Upon completion of the experiment, the Petroleum Engineer must compile a comprehensive report detailing the methodology, results, and conclusions. The report should include recommendations for field-scale application of the polymer flooding technique in the Pearl River Mouth Basin. This document will serve as a reference for future experiments and contribute to the technical knowledge base of the China Guangzhou research facility.</w:t>
      </w:r>
    </w:p>
    <w:p>
      <w:pPr>
        <w:pStyle w:val="BodyText"/>
      </w:pPr>
      <w:r>
        <w:rPr>
          <w:bCs/>
          <w:b/>
        </w:rPr>
        <w:t xml:space="preserve">Approved By:</w:t>
      </w:r>
      <w:r>
        <w:t xml:space="preserve"> </w:t>
      </w:r>
      <w:r>
        <w:t xml:space="preserve">Dr. Li Wei, Chief Petroleum Engineer</w:t>
      </w:r>
    </w:p>
    <w:p>
      <w:pPr>
        <w:pStyle w:val="BodyText"/>
      </w:pPr>
      <w:r>
        <w:rPr>
          <w:bCs/>
          <w:b/>
        </w:rPr>
        <w:t xml:space="preserve">Facility:</w:t>
      </w:r>
      <w:r>
        <w:t xml:space="preserve"> </w:t>
      </w:r>
      <w:r>
        <w:t xml:space="preserve">China Guangzhou Advanced Petroleum Research Laboratory</w:t>
      </w:r>
    </w:p>
    <w:p>
      <w:pPr>
        <w:pStyle w:val="BodyText"/>
      </w:pP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Guangzhou Branch</dc:title>
  <dc:creator/>
  <dc:language>en</dc:language>
  <cp:keywords/>
  <dcterms:created xsi:type="dcterms:W3CDTF">2026-10-10T01:16:09Z</dcterms:created>
  <dcterms:modified xsi:type="dcterms:W3CDTF">2026-10-10T01:16:09Z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