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Alexandria</w:t>
      </w:r>
      <w:r>
        <w:t xml:space="preserve"> </w:t>
      </w:r>
      <w:r>
        <w:t xml:space="preserve">Basin</w:t>
      </w:r>
    </w:p>
    <w:bookmarkStart w:id="20" w:name="X6a7405d4efe902a9a4250578d5c847dbb56f799"/>
    <w:p>
      <w:pPr>
        <w:pStyle w:val="Heading1"/>
      </w:pPr>
      <w:r>
        <w:t xml:space="preserve">Experiment Protocol: Enhanced Oil Recovery (EOR) in the Alexandria Basin</w:t>
      </w:r>
    </w:p>
    <w:p>
      <w:pPr>
        <w:pStyle w:val="FirstParagraph"/>
      </w:pPr>
      <w:r>
        <w:rPr>
          <w:bCs/>
          <w:b/>
        </w:rPr>
        <w:t xml:space="preserve">Document ID:</w:t>
      </w:r>
      <w:r>
        <w:t xml:space="preserve"> </w:t>
      </w:r>
      <w:r>
        <w:t xml:space="preserve">PET-EGY-2024-001</w:t>
      </w:r>
    </w:p>
    <w:p>
      <w:pPr>
        <w:pStyle w:val="BodyText"/>
      </w:pPr>
      <w:r>
        <w:rPr>
          <w:bCs/>
          <w:b/>
        </w:rPr>
        <w:t xml:space="preserve">Location:</w:t>
      </w:r>
      <w:r>
        <w:t xml:space="preserve"> </w:t>
      </w:r>
      <w:r>
        <w:t xml:space="preserve">Alexandria, Egypt</w:t>
      </w:r>
    </w:p>
    <w:p>
      <w:pPr>
        <w:pStyle w:val="BodyText"/>
      </w:pPr>
      <w:r>
        <w:rPr>
          <w:bCs/>
          <w:b/>
        </w:rPr>
        <w:t xml:space="preserve">Prepared by:</w:t>
      </w:r>
      <w:r>
        <w:t xml:space="preserve"> </w:t>
      </w:r>
      <w:r>
        <w:t xml:space="preserve">Petroleum Engineering Research Division</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controlled laboratory study on Enhanced Oil Recovery (EOR) techniques tailored for the geological conditions of the Alexandria Basin in Egypt. The primary objective is to evaluate the effectiveness of chemical flooding methods in improving oil recovery from mature reservoirs in the region. This protocol is designed for use by Petroleum Engineers working in Egypt Alexandria, ensuring compliance with local environmental regulations and industry standards.</w:t>
      </w:r>
    </w:p>
    <w:p>
      <w:pPr>
        <w:pStyle w:val="BodyText"/>
      </w:pPr>
      <w:r>
        <w:t xml:space="preserve">The Alexandria Basin is known for its complex carbonate and clastic reservoirs, which present unique challenges for oil extraction. This experiment aims to provide data-driven insights that can be applied to field operations in the area.</w:t>
      </w:r>
    </w:p>
    <w:bookmarkEnd w:id="21"/>
    <w:bookmarkStart w:id="22" w:name="scope-and-applicability"/>
    <w:p>
      <w:pPr>
        <w:pStyle w:val="Heading2"/>
      </w:pPr>
      <w:r>
        <w:t xml:space="preserve">2. Scope and Applicability</w:t>
      </w:r>
    </w:p>
    <w:p>
      <w:pPr>
        <w:pStyle w:val="FirstParagraph"/>
      </w:pPr>
      <w:r>
        <w:t xml:space="preserve">This protocol applies to all Petroleum Engineers and research personnel involved in EOR studies at facilities in Egypt Alexandria. It covers:</w:t>
      </w:r>
    </w:p>
    <w:p>
      <w:pPr>
        <w:numPr>
          <w:ilvl w:val="0"/>
          <w:numId w:val="1001"/>
        </w:numPr>
        <w:pStyle w:val="Compact"/>
      </w:pPr>
      <w:r>
        <w:t xml:space="preserve">Sample preparation from core plugs obtained in the Alexandria Basin</w:t>
      </w:r>
    </w:p>
    <w:p>
      <w:pPr>
        <w:numPr>
          <w:ilvl w:val="0"/>
          <w:numId w:val="1001"/>
        </w:numPr>
        <w:pStyle w:val="Compact"/>
      </w:pPr>
      <w:r>
        <w:t xml:space="preserve">Chemical formulation and compatibility testing</w:t>
      </w:r>
    </w:p>
    <w:p>
      <w:pPr>
        <w:numPr>
          <w:ilvl w:val="0"/>
          <w:numId w:val="1001"/>
        </w:numPr>
        <w:pStyle w:val="Compact"/>
      </w:pPr>
      <w:r>
        <w:t xml:space="preserve">Core flooding experiments under reservoir conditions</w:t>
      </w:r>
    </w:p>
    <w:p>
      <w:pPr>
        <w:numPr>
          <w:ilvl w:val="0"/>
          <w:numId w:val="1001"/>
        </w:numPr>
        <w:pStyle w:val="Compact"/>
      </w:pPr>
      <w:r>
        <w:t xml:space="preserve">Data collection and analysis procedures</w:t>
      </w:r>
    </w:p>
    <w:p>
      <w:pPr>
        <w:numPr>
          <w:ilvl w:val="0"/>
          <w:numId w:val="1001"/>
        </w:numPr>
        <w:pStyle w:val="Compact"/>
      </w:pPr>
      <w:r>
        <w:t xml:space="preserve">Safety and environmental compliance measures</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Plugs</w:t>
            </w:r>
          </w:p>
        </w:tc>
        <w:tc>
          <w:tcPr/>
          <w:p>
            <w:pPr>
              <w:pStyle w:val="Compact"/>
              <w:jc w:val="left"/>
            </w:pPr>
            <w:r>
              <w:t xml:space="preserve">From Alexandria Basin reservoirs, 2.5 cm diameter, 5 cm length</w:t>
            </w:r>
          </w:p>
        </w:tc>
        <w:tc>
          <w:tcPr/>
          <w:p>
            <w:pPr>
              <w:pStyle w:val="Compact"/>
              <w:jc w:val="left"/>
            </w:pPr>
            <w:r>
              <w:t xml:space="preserve">10</w:t>
            </w:r>
          </w:p>
        </w:tc>
      </w:tr>
      <w:tr>
        <w:tc>
          <w:tcPr/>
          <w:p>
            <w:pPr>
              <w:pStyle w:val="Compact"/>
              <w:jc w:val="left"/>
            </w:pPr>
            <w:r>
              <w:t xml:space="preserve">Core Holder</w:t>
            </w:r>
          </w:p>
        </w:tc>
        <w:tc>
          <w:tcPr/>
          <w:p>
            <w:pPr>
              <w:pStyle w:val="Compact"/>
              <w:jc w:val="left"/>
            </w:pPr>
            <w:r>
              <w:t xml:space="preserve">High-pressure, temperature-controlled</w:t>
            </w:r>
          </w:p>
        </w:tc>
        <w:tc>
          <w:tcPr/>
          <w:p>
            <w:pPr>
              <w:pStyle w:val="Compact"/>
              <w:jc w:val="left"/>
            </w:pPr>
            <w:r>
              <w:t xml:space="preserve">2</w:t>
            </w:r>
          </w:p>
        </w:tc>
      </w:tr>
      <w:tr>
        <w:tc>
          <w:tcPr/>
          <w:p>
            <w:pPr>
              <w:pStyle w:val="Compact"/>
              <w:jc w:val="left"/>
            </w:pPr>
            <w:r>
              <w:t xml:space="preserve">Synthetic Brine</w:t>
            </w:r>
          </w:p>
        </w:tc>
        <w:tc>
          <w:tcPr/>
          <w:p>
            <w:pPr>
              <w:pStyle w:val="Compact"/>
              <w:jc w:val="left"/>
            </w:pPr>
            <w:r>
              <w:t xml:space="preserve">Matching Alexandria Basin formation water composition</w:t>
            </w:r>
          </w:p>
        </w:tc>
        <w:tc>
          <w:tcPr/>
          <w:p>
            <w:pPr>
              <w:pStyle w:val="Compact"/>
              <w:jc w:val="left"/>
            </w:pPr>
            <w:r>
              <w:t xml:space="preserve">50 L</w:t>
            </w:r>
          </w:p>
        </w:tc>
      </w:tr>
      <w:tr>
        <w:tc>
          <w:tcPr/>
          <w:p>
            <w:pPr>
              <w:pStyle w:val="Compact"/>
              <w:jc w:val="left"/>
            </w:pPr>
            <w:r>
              <w:t xml:space="preserve">Chemical Surfactants</w:t>
            </w:r>
          </w:p>
        </w:tc>
        <w:tc>
          <w:tcPr/>
          <w:p>
            <w:pPr>
              <w:pStyle w:val="Compact"/>
              <w:jc w:val="left"/>
            </w:pPr>
            <w:r>
              <w:t xml:space="preserve">Alkylbenzene sulfonate, alcohol ethoxylate</w:t>
            </w:r>
          </w:p>
        </w:tc>
        <w:tc>
          <w:tcPr/>
          <w:p>
            <w:pPr>
              <w:pStyle w:val="Compact"/>
              <w:jc w:val="left"/>
            </w:pPr>
            <w:r>
              <w:t xml:space="preserve">5 kg each</w:t>
            </w:r>
          </w:p>
        </w:tc>
      </w:tr>
      <w:tr>
        <w:tc>
          <w:tcPr/>
          <w:p>
            <w:pPr>
              <w:pStyle w:val="Compact"/>
              <w:jc w:val="left"/>
            </w:pPr>
            <w:r>
              <w:t xml:space="preserve">Pressure Transducers</w:t>
            </w:r>
          </w:p>
        </w:tc>
        <w:tc>
          <w:tcPr/>
          <w:p>
            <w:pPr>
              <w:pStyle w:val="Compact"/>
              <w:jc w:val="left"/>
            </w:pPr>
            <w:r>
              <w:t xml:space="preserve">0-10,000 psi range</w:t>
            </w:r>
          </w:p>
        </w:tc>
        <w:tc>
          <w:tcPr/>
          <w:p>
            <w:pPr>
              <w:pStyle w:val="Compact"/>
              <w:jc w:val="left"/>
            </w:pPr>
            <w:r>
              <w:t xml:space="preserve">4</w:t>
            </w:r>
          </w:p>
        </w:tc>
      </w:tr>
      <w:tr>
        <w:tc>
          <w:tcPr/>
          <w:p>
            <w:pPr>
              <w:pStyle w:val="Compact"/>
              <w:jc w:val="left"/>
            </w:pPr>
            <w:r>
              <w:t xml:space="preserve">Data Acquisition System</w:t>
            </w:r>
          </w:p>
        </w:tc>
        <w:tc>
          <w:tcPr/>
          <w:p>
            <w:pPr>
              <w:pStyle w:val="Compact"/>
              <w:jc w:val="left"/>
            </w:pPr>
            <w:r>
              <w:t xml:space="preserve">Real-time monitoring capability</w:t>
            </w:r>
          </w:p>
        </w:tc>
        <w:tc>
          <w:tcPr/>
          <w:p>
            <w:pPr>
              <w:pStyle w:val="Compact"/>
              <w:jc w:val="left"/>
            </w:pPr>
            <w:r>
              <w:t xml:space="preserve">1</w:t>
            </w:r>
          </w:p>
        </w:tc>
      </w:tr>
    </w:tbl>
    <w:bookmarkEnd w:id="23"/>
    <w:bookmarkStart w:id="28" w:name="experimental-procedure"/>
    <w:p>
      <w:pPr>
        <w:pStyle w:val="Heading2"/>
      </w:pPr>
      <w:r>
        <w:t xml:space="preserve">4. Experimental Procedure</w:t>
      </w:r>
    </w:p>
    <w:bookmarkStart w:id="24" w:name="sample-preparation"/>
    <w:p>
      <w:pPr>
        <w:pStyle w:val="Heading3"/>
      </w:pPr>
      <w:r>
        <w:t xml:space="preserve">4.1 Sample Preparation</w:t>
      </w:r>
    </w:p>
    <w:p>
      <w:pPr>
        <w:pStyle w:val="FirstParagraph"/>
      </w:pPr>
      <w:r>
        <w:t xml:space="preserve">Core plugs shall be cleaned using toluene and methanol to remove residual hydrocarbons. Each sample will be saturated with synthetic brine that matches the salinity and mineral composition of formation water from the Alexandria Basin. Saturation will be achieved under vacuum for 24 hours.</w:t>
      </w:r>
    </w:p>
    <w:bookmarkEnd w:id="24"/>
    <w:bookmarkStart w:id="25" w:name="initial-water-flooding"/>
    <w:p>
      <w:pPr>
        <w:pStyle w:val="Heading3"/>
      </w:pPr>
      <w:r>
        <w:t xml:space="preserve">4.2 Initial Water Flooding</w:t>
      </w:r>
    </w:p>
    <w:p>
      <w:pPr>
        <w:pStyle w:val="FirstParagraph"/>
      </w:pPr>
      <w:r>
        <w:t xml:space="preserve">Each core plug will undergo initial water flooding at a constant rate of 1 cm³/min until breakthrough is observed. Pressure differential across the core will be recorded continuously. This step establishes baseline permeability and irreducible water saturation.</w:t>
      </w:r>
    </w:p>
    <w:bookmarkEnd w:id="25"/>
    <w:bookmarkStart w:id="26" w:name="chemical-flooding"/>
    <w:p>
      <w:pPr>
        <w:pStyle w:val="Heading3"/>
      </w:pPr>
      <w:r>
        <w:t xml:space="preserve">4.3 Chemical Flooding</w:t>
      </w:r>
    </w:p>
    <w:p>
      <w:pPr>
        <w:pStyle w:val="FirstParagraph"/>
      </w:pPr>
      <w:r>
        <w:t xml:space="preserve">Following water flooding, chemical solutions will be injected at concentrations of 0.1%, 0.5%, and 1.0% by weight. The injection rate will be maintained at 1 cm³/min. Temperature will be controlled at 60°C to simulate reservoir conditions in the Alexandria Basin.</w:t>
      </w:r>
    </w:p>
    <w:bookmarkEnd w:id="26"/>
    <w:bookmarkStart w:id="27" w:name="data-collection"/>
    <w:p>
      <w:pPr>
        <w:pStyle w:val="Heading3"/>
      </w:pPr>
      <w:r>
        <w:t xml:space="preserve">4.4 Data Collection</w:t>
      </w:r>
    </w:p>
    <w:p>
      <w:pPr>
        <w:pStyle w:val="FirstParagraph"/>
      </w:pPr>
      <w:r>
        <w:t xml:space="preserve">Pressure, flow rate, and produced fluid volumes will be recorded every minute. Produced fluids will be collected and analyzed for oil content using gas chromatography.</w:t>
      </w:r>
    </w:p>
    <w:bookmarkEnd w:id="27"/>
    <w:bookmarkEnd w:id="28"/>
    <w:bookmarkStart w:id="29" w:name="safety-and-environmental-considerations"/>
    <w:p>
      <w:pPr>
        <w:pStyle w:val="Heading2"/>
      </w:pPr>
      <w:r>
        <w:t xml:space="preserve">5. Safety and Environmental Considerations</w:t>
      </w:r>
    </w:p>
    <w:p>
      <w:pPr>
        <w:pStyle w:val="FirstParagraph"/>
      </w:pPr>
      <w:r>
        <w:rPr>
          <w:bCs/>
          <w:b/>
        </w:rPr>
        <w:t xml:space="preserve">Important:</w:t>
      </w:r>
      <w:r>
        <w:t xml:space="preserve"> </w:t>
      </w:r>
      <w:r>
        <w:t xml:space="preserve">All personnel must adhere to Egyptian environmental regulations and workplace safety standards. Chemical handling requires appropriate personal protective equipment (PPE).</w:t>
      </w:r>
    </w:p>
    <w:p>
      <w:pPr>
        <w:pStyle w:val="BodyText"/>
      </w:pPr>
      <w:r>
        <w:t xml:space="preserve">Waste fluids from the experiment must be collected and disposed of according to Egyptian Environmental Affairs Agency guidelines. Spill containment procedures must be in place at all times.</w:t>
      </w:r>
    </w:p>
    <w:bookmarkEnd w:id="29"/>
    <w:bookmarkStart w:id="30" w:name="data-analysis-and-reporting"/>
    <w:p>
      <w:pPr>
        <w:pStyle w:val="Heading2"/>
      </w:pPr>
      <w:r>
        <w:t xml:space="preserve">6. Data Analysis and Reporting</w:t>
      </w:r>
    </w:p>
    <w:p>
      <w:pPr>
        <w:pStyle w:val="FirstParagraph"/>
      </w:pPr>
      <w:r>
        <w:t xml:space="preserve">Recovery factors will be calculated for each flooding stage. Relative permeability curves will be generated from the experimental data. Results will be compared with historical production data from fields in the Alexandria Basin to assess applicability.</w:t>
      </w:r>
    </w:p>
    <w:p>
      <w:pPr>
        <w:pStyle w:val="BodyText"/>
      </w:pPr>
      <w:r>
        <w:t xml:space="preserve">A comprehensive report will be prepared by the Petroleum Engineer in charge, including recommendations for field-scale implementation in Egypt Alexandria.</w:t>
      </w:r>
    </w:p>
    <w:bookmarkEnd w:id="30"/>
    <w:bookmarkStart w:id="31" w:name="quality-assurance"/>
    <w:p>
      <w:pPr>
        <w:pStyle w:val="Heading2"/>
      </w:pPr>
      <w:r>
        <w:t xml:space="preserve">7. Quality Assurance</w:t>
      </w:r>
    </w:p>
    <w:p>
      <w:pPr>
        <w:pStyle w:val="FirstParagraph"/>
      </w:pPr>
      <w:r>
        <w:t xml:space="preserve">All measurements will be calibrated before each experimental run. Duplicate tests will be conducted to ensure reproducibility. Any deviations from this protocol must be documented and justified.</w:t>
      </w:r>
    </w:p>
    <w:bookmarkEnd w:id="31"/>
    <w:bookmarkStart w:id="32" w:name="approval-and-signatures"/>
    <w:p>
      <w:pPr>
        <w:pStyle w:val="Heading2"/>
      </w:pPr>
      <w:r>
        <w:t xml:space="preserve">8. Approval and Signatures</w:t>
      </w:r>
    </w:p>
    <w:p>
      <w:pPr>
        <w:pStyle w:val="FirstParagraph"/>
      </w:pPr>
      <w:r>
        <w:t xml:space="preserve">This Experiment Protocol must be approved by the supervising Petroleum Engineer and the laboratory director before implementation.</w:t>
      </w:r>
    </w:p>
    <w:p>
      <w:pPr>
        <w:pStyle w:val="BodyText"/>
      </w:pPr>
      <w:r>
        <w:rPr>
          <w:bCs/>
          <w:b/>
        </w:rPr>
        <w:t xml:space="preserve">Prepared by:</w:t>
      </w:r>
      <w:r>
        <w:t xml:space="preserve"> </w:t>
      </w:r>
      <w:r>
        <w:t xml:space="preserve">________________________ Date: __________</w:t>
      </w:r>
    </w:p>
    <w:p>
      <w:pPr>
        <w:pStyle w:val="BodyText"/>
      </w:pPr>
      <w:r>
        <w:rPr>
          <w:bCs/>
          <w:b/>
        </w:rPr>
        <w:t xml:space="preserve">Approved by:</w:t>
      </w:r>
      <w:r>
        <w:t xml:space="preserve"> </w:t>
      </w:r>
      <w:r>
        <w:t xml:space="preserve">________________________ Date: 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Alexandria Basin</dc:title>
  <dc:creator/>
  <dc:language>en</dc:language>
  <cp:keywords/>
  <dcterms:created xsi:type="dcterms:W3CDTF">2026-10-10T02:19:41Z</dcterms:created>
  <dcterms:modified xsi:type="dcterms:W3CDTF">2026-10-10T02:19:41Z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