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Arid</w:t>
      </w:r>
      <w:r>
        <w:t xml:space="preserve"> </w:t>
      </w:r>
      <w:r>
        <w:t xml:space="preserve">Environments</w:t>
      </w:r>
    </w:p>
    <w:bookmarkStart w:id="31" w:name="X4450507662914c8c5797323ba57ed439f1bea64"/>
    <w:p>
      <w:pPr>
        <w:pStyle w:val="Heading1"/>
      </w:pPr>
      <w:r>
        <w:t xml:space="preserve">Experiment Protocol: Evaluation of Polymer Flooding Efficiency in High-Temperature Carbonate Reservoirs</w:t>
      </w:r>
    </w:p>
    <w:p>
      <w:pPr>
        <w:pStyle w:val="FirstParagraph"/>
      </w:pPr>
      <w:r>
        <w:rPr>
          <w:bCs/>
          <w:b/>
        </w:rPr>
        <w:t xml:space="preserve">Document ID:</w:t>
      </w:r>
      <w:r>
        <w:t xml:space="preserve"> </w:t>
      </w:r>
      <w:r>
        <w:t xml:space="preserve">PE-EGY-CAI-2023-045</w:t>
      </w:r>
    </w:p>
    <w:p>
      <w:pPr>
        <w:pStyle w:val="BodyText"/>
      </w:pPr>
      <w:r>
        <w:rPr>
          <w:bCs/>
          <w:b/>
        </w:rPr>
        <w:t xml:space="preserve">Location:</w:t>
      </w:r>
      <w:r>
        <w:t xml:space="preserve"> </w:t>
      </w:r>
      <w:r>
        <w:t xml:space="preserve">Cairo, Egypt (Giza University Research Complex)</w:t>
      </w:r>
    </w:p>
    <w:p>
      <w:pPr>
        <w:pStyle w:val="BodyText"/>
      </w:pPr>
      <w:r>
        <w:rPr>
          <w:bCs/>
          <w:b/>
        </w:rPr>
        <w:t xml:space="preserve">Discipline:</w:t>
      </w:r>
      <w:r>
        <w:t xml:space="preserve"> </w:t>
      </w:r>
      <w:r>
        <w:t xml:space="preserve">Petroleum Engineering</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Reservoir Engineering Team</w:t>
      </w:r>
    </w:p>
    <w:bookmarkStart w:id="20" w:name="introduction-and-objective"/>
    <w:p>
      <w:pPr>
        <w:pStyle w:val="Heading2"/>
      </w:pPr>
      <w:r>
        <w:t xml:space="preserve">1. Introduction and Objective</w:t>
      </w:r>
    </w:p>
    <w:p>
      <w:pPr>
        <w:pStyle w:val="FirstParagraph"/>
      </w:pPr>
      <w:r>
        <w:t xml:space="preserve">This Experiment Protocol outlines the systematic procedure for evaluating the efficacy of polymer flooding as an Enhanced Oil Recovery (EOR) technique. The study is specifically tailored to the geological and environmental conditions prevalent in the Western Desert of Egypt. As a Petroleum Engineer operating in Egypt Cairo, the primary objective is to optimize hydrocarbon extraction from mature carbonate reservoirs characterized by high temperatures and high salinity brine.</w:t>
      </w:r>
    </w:p>
    <w:p>
      <w:pPr>
        <w:pStyle w:val="BodyText"/>
      </w:pPr>
      <w:r>
        <w:t xml:space="preserve">The specific goals of this experiment are:</w:t>
      </w:r>
    </w:p>
    <w:p>
      <w:pPr>
        <w:numPr>
          <w:ilvl w:val="0"/>
          <w:numId w:val="1001"/>
        </w:numPr>
        <w:pStyle w:val="Compact"/>
      </w:pPr>
      <w:r>
        <w:t xml:space="preserve">To determine the thermal stability of partially hydrolyzed polyacrylamide (HPAM) at reservoir temperatures exceeding 80°C.</w:t>
      </w:r>
    </w:p>
    <w:p>
      <w:pPr>
        <w:numPr>
          <w:ilvl w:val="0"/>
          <w:numId w:val="1001"/>
        </w:numPr>
        <w:pStyle w:val="Compact"/>
      </w:pPr>
      <w:r>
        <w:t xml:space="preserve">To analyze the interaction between the polymer solution and formation brine with Total Dissolved Solids (TDS) levels typical of Egyptian oil fields.</w:t>
      </w:r>
    </w:p>
    <w:p>
      <w:pPr>
        <w:numPr>
          <w:ilvl w:val="0"/>
          <w:numId w:val="1001"/>
        </w:numPr>
        <w:pStyle w:val="Compact"/>
      </w:pPr>
      <w:r>
        <w:t xml:space="preserve">To measure the incremental oil recovery factor compared to water flooding.</w:t>
      </w:r>
    </w:p>
    <w:bookmarkEnd w:id="20"/>
    <w:bookmarkStart w:id="21" w:name="scope-and-applicability"/>
    <w:p>
      <w:pPr>
        <w:pStyle w:val="Heading2"/>
      </w:pPr>
      <w:r>
        <w:t xml:space="preserve">2. Scope and Applicability</w:t>
      </w:r>
    </w:p>
    <w:p>
      <w:pPr>
        <w:pStyle w:val="FirstParagraph"/>
      </w:pPr>
      <w:r>
        <w:t xml:space="preserve">This protocol applies to laboratory-scale core flooding experiments conducted within the Petroleum Engineering Department in Cairo. The results will be used to design pilot projects for field implementation in the Western Desert. The protocol adheres to international standards (API and SPE) while accounting for local regulatory requirements in Egypt.</w:t>
      </w:r>
    </w:p>
    <w:bookmarkEnd w:id="21"/>
    <w:bookmarkStart w:id="22" w:name="materials-and-equipment"/>
    <w:p>
      <w:pPr>
        <w:pStyle w:val="Heading2"/>
      </w:pPr>
      <w:r>
        <w:t xml:space="preserve">3. Materials and Equipment</w:t>
      </w:r>
    </w:p>
    <w:p>
      <w:pPr>
        <w:pStyle w:val="FirstParagraph"/>
      </w:pPr>
      <w:r>
        <w:t xml:space="preserve">The following materials and equipment are required to execute this experiment safely and accurately:</w:t>
      </w:r>
    </w:p>
    <w:p>
      <w:pPr>
        <w:numPr>
          <w:ilvl w:val="0"/>
          <w:numId w:val="1002"/>
        </w:numPr>
        <w:pStyle w:val="Compact"/>
      </w:pPr>
      <w:r>
        <w:rPr>
          <w:bCs/>
          <w:b/>
        </w:rPr>
        <w:t xml:space="preserve">Core Samples:</w:t>
      </w:r>
      <w:r>
        <w:t xml:space="preserve"> </w:t>
      </w:r>
      <w:r>
        <w:t xml:space="preserve">Limestone cores extracted from the Bahariya Formation, cleaned and saturated with synthetic formation brine.</w:t>
      </w:r>
    </w:p>
    <w:p>
      <w:pPr>
        <w:numPr>
          <w:ilvl w:val="0"/>
          <w:numId w:val="1002"/>
        </w:numPr>
        <w:pStyle w:val="Compact"/>
      </w:pPr>
      <w:r>
        <w:rPr>
          <w:bCs/>
          <w:b/>
        </w:rPr>
        <w:t xml:space="preserve">Core Holder:</w:t>
      </w:r>
      <w:r>
        <w:t xml:space="preserve"> </w:t>
      </w:r>
      <w:r>
        <w:t xml:space="preserve">High-pressure, high-temperature (HPHT) core holder capable of maintaining 10,000 psi and 90°C.</w:t>
      </w:r>
    </w:p>
    <w:p>
      <w:pPr>
        <w:numPr>
          <w:ilvl w:val="0"/>
          <w:numId w:val="1002"/>
        </w:numPr>
        <w:pStyle w:val="Compact"/>
      </w:pPr>
      <w:r>
        <w:rPr>
          <w:bCs/>
          <w:b/>
        </w:rPr>
        <w:t xml:space="preserve">Polymer:</w:t>
      </w:r>
      <w:r>
        <w:t xml:space="preserve"> </w:t>
      </w:r>
      <w:r>
        <w:t xml:space="preserve">Commercial grade HPAM with molecular weight of 12 million Daltons.</w:t>
      </w:r>
    </w:p>
    <w:p>
      <w:pPr>
        <w:numPr>
          <w:ilvl w:val="0"/>
          <w:numId w:val="1002"/>
        </w:numPr>
        <w:pStyle w:val="Compact"/>
      </w:pPr>
      <w:r>
        <w:rPr>
          <w:bCs/>
          <w:b/>
        </w:rPr>
        <w:t xml:space="preserve">Brine:</w:t>
      </w:r>
      <w:r>
        <w:t xml:space="preserve"> </w:t>
      </w:r>
      <w:r>
        <w:t xml:space="preserve">Synthetic brine matching the ionic composition of the target reservoir (high Ca2+ and Mg2+ content).</w:t>
      </w:r>
    </w:p>
    <w:p>
      <w:pPr>
        <w:numPr>
          <w:ilvl w:val="0"/>
          <w:numId w:val="1002"/>
        </w:numPr>
        <w:pStyle w:val="Compact"/>
      </w:pPr>
      <w:r>
        <w:rPr>
          <w:bCs/>
          <w:b/>
        </w:rPr>
        <w:t xml:space="preserve">Flow System:</w:t>
      </w:r>
      <w:r>
        <w:t xml:space="preserve"> </w:t>
      </w:r>
      <w:r>
        <w:t xml:space="preserve">High-pressure syringe pumps for precise injection rates.</w:t>
      </w:r>
    </w:p>
    <w:p>
      <w:pPr>
        <w:numPr>
          <w:ilvl w:val="0"/>
          <w:numId w:val="1002"/>
        </w:numPr>
        <w:pStyle w:val="Compact"/>
      </w:pPr>
      <w:r>
        <w:rPr>
          <w:bCs/>
          <w:b/>
        </w:rPr>
        <w:t xml:space="preserve">Viscometer:</w:t>
      </w:r>
      <w:r>
        <w:t xml:space="preserve"> </w:t>
      </w:r>
      <w:r>
        <w:t xml:space="preserve">For measuring solution viscosity at reservoir conditions.</w:t>
      </w:r>
    </w:p>
    <w:bookmarkEnd w:id="22"/>
    <w:bookmarkStart w:id="23" w:name="safety-and-environmental-considerations"/>
    <w:p>
      <w:pPr>
        <w:pStyle w:val="Heading2"/>
      </w:pPr>
      <w:r>
        <w:t xml:space="preserve">4. Safety and Environmental Considerations</w:t>
      </w:r>
    </w:p>
    <w:p>
      <w:pPr>
        <w:pStyle w:val="FirstParagraph"/>
      </w:pPr>
      <w:r>
        <w:t xml:space="preserve">Safety is paramount in this Petroleum Engineer experiment. All personnel in the Cairo laboratory must wear appropriate Personal Protective Equipment (PPE), including safety goggles, gloves, and lab coats. Due to the high pressure and temperature involved, the core holder must be inspected for leaks before pressurization. Waste fluids containing polymers and hydrocarbons must be disposed of according to the Egyptian Environmental Affairs Agency (EEAA) regulations to prevent contamination of local water sources.</w:t>
      </w:r>
    </w:p>
    <w:bookmarkEnd w:id="23"/>
    <w:bookmarkStart w:id="27" w:name="experimental-procedure"/>
    <w:p>
      <w:pPr>
        <w:pStyle w:val="Heading2"/>
      </w:pPr>
      <w:r>
        <w:t xml:space="preserve">5. Experimental Procedure</w:t>
      </w:r>
    </w:p>
    <w:p>
      <w:pPr>
        <w:pStyle w:val="FirstParagraph"/>
      </w:pPr>
      <w:r>
        <w:t xml:space="preserve">The experiment will be conducted in three distinct phases:</w:t>
      </w:r>
    </w:p>
    <w:bookmarkStart w:id="24" w:name="phase-i-core-preparation-and-saturation"/>
    <w:p>
      <w:pPr>
        <w:pStyle w:val="Heading3"/>
      </w:pPr>
      <w:r>
        <w:t xml:space="preserve">5.1. Phase I: Core Preparation and Saturation</w:t>
      </w:r>
    </w:p>
    <w:p>
      <w:pPr>
        <w:numPr>
          <w:ilvl w:val="0"/>
          <w:numId w:val="1003"/>
        </w:numPr>
        <w:pStyle w:val="Compact"/>
      </w:pPr>
      <w:r>
        <w:t xml:space="preserve">Clean the core samples using toluene and methanol to remove existing hydrocarbons.</w:t>
      </w:r>
    </w:p>
    <w:p>
      <w:pPr>
        <w:numPr>
          <w:ilvl w:val="0"/>
          <w:numId w:val="1003"/>
        </w:numPr>
        <w:pStyle w:val="Compact"/>
      </w:pPr>
      <w:r>
        <w:t xml:space="preserve">Dry the cores in an oven at 60°C for 24 hours.</w:t>
      </w:r>
    </w:p>
    <w:p>
      <w:pPr>
        <w:numPr>
          <w:ilvl w:val="0"/>
          <w:numId w:val="1003"/>
        </w:numPr>
        <w:pStyle w:val="Compact"/>
      </w:pPr>
      <w:r>
        <w:t xml:space="preserve">Saturate the cores with synthetic formation brine under vacuum to ensure 100% water saturation.</w:t>
      </w:r>
    </w:p>
    <w:p>
      <w:pPr>
        <w:numPr>
          <w:ilvl w:val="0"/>
          <w:numId w:val="1003"/>
        </w:numPr>
        <w:pStyle w:val="Compact"/>
      </w:pPr>
      <w:r>
        <w:t xml:space="preserve">Measure the initial porosity and permeability of the saturated cores.</w:t>
      </w:r>
    </w:p>
    <w:bookmarkEnd w:id="24"/>
    <w:bookmarkStart w:id="25" w:name="phase-ii-water-flooding"/>
    <w:p>
      <w:pPr>
        <w:pStyle w:val="Heading3"/>
      </w:pPr>
      <w:r>
        <w:t xml:space="preserve">5.2. Phase II: Water Flooding</w:t>
      </w:r>
    </w:p>
    <w:p>
      <w:pPr>
        <w:numPr>
          <w:ilvl w:val="0"/>
          <w:numId w:val="1004"/>
        </w:numPr>
        <w:pStyle w:val="Compact"/>
      </w:pPr>
      <w:r>
        <w:t xml:space="preserve">Inject formation brine at a constant rate of 1 cc/min until breakthrough is observed.</w:t>
      </w:r>
    </w:p>
    <w:p>
      <w:pPr>
        <w:numPr>
          <w:ilvl w:val="0"/>
          <w:numId w:val="1004"/>
        </w:numPr>
        <w:pStyle w:val="Compact"/>
      </w:pPr>
      <w:r>
        <w:t xml:space="preserve">Continue injection until the water cut reaches 98%.</w:t>
      </w:r>
    </w:p>
    <w:p>
      <w:pPr>
        <w:numPr>
          <w:ilvl w:val="0"/>
          <w:numId w:val="1004"/>
        </w:numPr>
        <w:pStyle w:val="Compact"/>
      </w:pPr>
      <w:r>
        <w:t xml:space="preserve">Record the cumulative oil produced and the pressure drop across the core.</w:t>
      </w:r>
    </w:p>
    <w:bookmarkEnd w:id="25"/>
    <w:bookmarkStart w:id="26" w:name="phase-iii-polymer-flooding"/>
    <w:p>
      <w:pPr>
        <w:pStyle w:val="Heading3"/>
      </w:pPr>
      <w:r>
        <w:t xml:space="preserve">5.3. Phase III: Polymer Flooding</w:t>
      </w:r>
    </w:p>
    <w:p>
      <w:pPr>
        <w:numPr>
          <w:ilvl w:val="0"/>
          <w:numId w:val="1005"/>
        </w:numPr>
        <w:pStyle w:val="Compact"/>
      </w:pPr>
      <w:r>
        <w:t xml:space="preserve">Prepare the polymer solution by dissolving HPAM in formation brine. Allow the solution to age for 24 hours at reservoir temperature to simulate field conditions.</w:t>
      </w:r>
    </w:p>
    <w:p>
      <w:pPr>
        <w:numPr>
          <w:ilvl w:val="0"/>
          <w:numId w:val="1005"/>
        </w:numPr>
        <w:pStyle w:val="Compact"/>
      </w:pPr>
      <w:r>
        <w:t xml:space="preserve">Measure the viscosity of the aged polymer solution.</w:t>
      </w:r>
    </w:p>
    <w:p>
      <w:pPr>
        <w:numPr>
          <w:ilvl w:val="0"/>
          <w:numId w:val="1005"/>
        </w:numPr>
        <w:pStyle w:val="Compact"/>
      </w:pPr>
      <w:r>
        <w:t xml:space="preserve">Inject the polymer solution at the same flow rate as the water flooding phase.</w:t>
      </w:r>
    </w:p>
    <w:p>
      <w:pPr>
        <w:numPr>
          <w:ilvl w:val="0"/>
          <w:numId w:val="1005"/>
        </w:numPr>
        <w:pStyle w:val="Compact"/>
      </w:pPr>
      <w:r>
        <w:t xml:space="preserve">Monitor the pressure drop and oil production rate continuously.</w:t>
      </w:r>
    </w:p>
    <w:p>
      <w:pPr>
        <w:numPr>
          <w:ilvl w:val="0"/>
          <w:numId w:val="1005"/>
        </w:numPr>
        <w:pStyle w:val="Compact"/>
      </w:pPr>
      <w:r>
        <w:t xml:space="preserve">Continue injection until the water cut reaches 99%.</w:t>
      </w:r>
    </w:p>
    <w:bookmarkEnd w:id="26"/>
    <w:bookmarkEnd w:id="27"/>
    <w:bookmarkStart w:id="28" w:name="data-analysis"/>
    <w:p>
      <w:pPr>
        <w:pStyle w:val="Heading2"/>
      </w:pPr>
      <w:r>
        <w:t xml:space="preserve">6. Data Analysis</w:t>
      </w:r>
    </w:p>
    <w:p>
      <w:pPr>
        <w:pStyle w:val="FirstParagraph"/>
      </w:pPr>
      <w:r>
        <w:t xml:space="preserve">The data collected will be analyzed to calculate the following parameters:</w:t>
      </w:r>
    </w:p>
    <w:p>
      <w:pPr>
        <w:numPr>
          <w:ilvl w:val="0"/>
          <w:numId w:val="1006"/>
        </w:numPr>
        <w:pStyle w:val="Compact"/>
      </w:pPr>
      <w:r>
        <w:rPr>
          <w:bCs/>
          <w:b/>
        </w:rPr>
        <w:t xml:space="preserve">Relative Permeability:</w:t>
      </w:r>
      <w:r>
        <w:t xml:space="preserve"> </w:t>
      </w:r>
      <w:r>
        <w:t xml:space="preserve">To understand the flow behavior of oil and water in the presence of polymer.</w:t>
      </w:r>
    </w:p>
    <w:p>
      <w:pPr>
        <w:numPr>
          <w:ilvl w:val="0"/>
          <w:numId w:val="1006"/>
        </w:numPr>
        <w:pStyle w:val="Compact"/>
      </w:pPr>
      <w:r>
        <w:rPr>
          <w:bCs/>
          <w:b/>
        </w:rPr>
        <w:t xml:space="preserve">Viscosity Ratio:</w:t>
      </w:r>
      <w:r>
        <w:t xml:space="preserve"> </w:t>
      </w:r>
      <w:r>
        <w:t xml:space="preserve">To assess the mobility control provided by the polymer.</w:t>
      </w:r>
    </w:p>
    <w:p>
      <w:pPr>
        <w:numPr>
          <w:ilvl w:val="0"/>
          <w:numId w:val="1006"/>
        </w:numPr>
        <w:pStyle w:val="Compact"/>
      </w:pPr>
      <w:r>
        <w:rPr>
          <w:bCs/>
          <w:b/>
        </w:rPr>
        <w:t xml:space="preserve">Incremental Oil Recovery:</w:t>
      </w:r>
      <w:r>
        <w:t xml:space="preserve"> </w:t>
      </w:r>
      <w:r>
        <w:t xml:space="preserve">The difference in oil recovery between water flooding and polymer flooding.</w:t>
      </w:r>
    </w:p>
    <w:p>
      <w:pPr>
        <w:pStyle w:val="FirstParagraph"/>
      </w:pPr>
      <w:r>
        <w:t xml:space="preserve">Statistical analysis will be performed to ensure the reliability of the results. The findings will be compared with historical data from similar reservoirs in Egypt to validate the model.</w:t>
      </w:r>
    </w:p>
    <w:bookmarkEnd w:id="28"/>
    <w:bookmarkStart w:id="29" w:name="expected-outcomes"/>
    <w:p>
      <w:pPr>
        <w:pStyle w:val="Heading2"/>
      </w:pPr>
      <w:r>
        <w:t xml:space="preserve">7. Expected Outcomes</w:t>
      </w:r>
    </w:p>
    <w:p>
      <w:pPr>
        <w:pStyle w:val="FirstParagraph"/>
      </w:pPr>
      <w:r>
        <w:t xml:space="preserve">It is anticipated that the polymer flooding will increase the oil recovery factor by 10-15% compared to water flooding. The experiment will also provide insights into the optimal polymer concentration and injection rate for the specific conditions of the Western Desert reservoirs. This information is crucial for the Petroleum Engineer to design cost-effective EOR projects in Egypt Cairo.</w:t>
      </w:r>
    </w:p>
    <w:bookmarkEnd w:id="29"/>
    <w:bookmarkStart w:id="30" w:name="conclusion"/>
    <w:p>
      <w:pPr>
        <w:pStyle w:val="Heading2"/>
      </w:pPr>
      <w:r>
        <w:t xml:space="preserve">8. Conclusion</w:t>
      </w:r>
    </w:p>
    <w:p>
      <w:pPr>
        <w:pStyle w:val="FirstParagraph"/>
      </w:pPr>
      <w:r>
        <w:t xml:space="preserve">This Experiment Protocol provides a comprehensive framework for evaluating polymer flooding in high-temperature carbonate reservoirs. By following this protocol, the research team in Cairo will generate valuable data to support the development of enhanced oil recovery strategies in Egypt. The successful implementation of these techniques will contribute to the sustainability of the national oil production and the economic growth of the country.</w:t>
      </w:r>
    </w:p>
    <w:bookmarkEnd w:id="30"/>
    <w:p>
      <w:pPr>
        <w:pStyle w:val="BodyText"/>
      </w:pPr>
      <w:r>
        <w:t xml:space="preserve">End of Document. This protocol is confidential and intended for internal use by the Petroleum Engineering Department in Egypt Cairo.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Arid Environments</dc:title>
  <dc:creator/>
  <dc:language>en</dc:language>
  <cp:keywords/>
  <dcterms:created xsi:type="dcterms:W3CDTF">2026-10-10T00:32:00Z</dcterms:created>
  <dcterms:modified xsi:type="dcterms:W3CDTF">2026-10-10T00:32:00Z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