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r>
        <w:t xml:space="preserve"> </w:t>
      </w:r>
      <w:r>
        <w:t xml:space="preserve">-</w:t>
      </w:r>
      <w:r>
        <w:t xml:space="preserve"> </w:t>
      </w:r>
      <w:r>
        <w:t xml:space="preserve">Lyon,</w:t>
      </w:r>
      <w:r>
        <w:t xml:space="preserve"> </w:t>
      </w:r>
      <w:r>
        <w:t xml:space="preserve">France</w:t>
      </w:r>
    </w:p>
    <w:bookmarkStart w:id="20" w:name="X4e84f7a7c57d7c06bfb49e070f153abe03b29dc"/>
    <w:p>
      <w:pPr>
        <w:pStyle w:val="Heading1"/>
      </w:pPr>
      <w:r>
        <w:t xml:space="preserve">Experiment Protocol: Enhanced Oil Recovery Simulation</w:t>
      </w:r>
    </w:p>
    <w:p>
      <w:pPr>
        <w:pStyle w:val="FirstParagraph"/>
      </w:pPr>
      <w:r>
        <w:rPr>
          <w:bCs/>
          <w:b/>
        </w:rPr>
        <w:t xml:space="preserve">Location:</w:t>
      </w:r>
      <w:r>
        <w:t xml:space="preserve"> </w:t>
      </w:r>
      <w:r>
        <w:t xml:space="preserve">Lyon, France</w:t>
      </w:r>
    </w:p>
    <w:p>
      <w:pPr>
        <w:pStyle w:val="BodyText"/>
      </w:pPr>
      <w:r>
        <w:rPr>
          <w:bCs/>
          <w:b/>
        </w:rPr>
        <w:t xml:space="preserve">Prepared by:</w:t>
      </w:r>
      <w:r>
        <w:t xml:space="preserve"> </w:t>
      </w:r>
      <w:r>
        <w:t xml:space="preserve">Petroleum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conducting an Enhanced Oil Recovery (EOR) simulation experiment. The experiment is designed to evaluate the effectiveness of a novel chemical surfactant in improving oil recovery from a reservoir model. The study is being conducted in Lyon, France, leveraging the advanced facilities and expertise available in this region. The Petroleum Engineer responsible for this experiment will ensure that all procedures are followed meticulously to obtain accurate and reliable results.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the novel chemical surfactant on oil recovery rates.</w:t>
      </w:r>
    </w:p>
    <w:p>
      <w:pPr>
        <w:numPr>
          <w:ilvl w:val="0"/>
          <w:numId w:val="1001"/>
        </w:numPr>
        <w:pStyle w:val="Compact"/>
      </w:pPr>
      <w:r>
        <w:t xml:space="preserve">To compare the performance of the surfactant with conventional EOR methods.</w:t>
      </w:r>
    </w:p>
    <w:p>
      <w:pPr>
        <w:numPr>
          <w:ilvl w:val="0"/>
          <w:numId w:val="1001"/>
        </w:numPr>
        <w:pStyle w:val="Compact"/>
      </w:pPr>
      <w:r>
        <w:t xml:space="preserve">To analyze the physical and chemical properties of the reservoir model under different conditions.</w:t>
      </w:r>
    </w:p>
    <w:p>
      <w:pPr>
        <w:numPr>
          <w:ilvl w:val="0"/>
          <w:numId w:val="1001"/>
        </w:numPr>
        <w:pStyle w:val="Compact"/>
      </w:pPr>
      <w:r>
        <w:t xml:space="preserve">To provide data that can be used to optimize EOR strategies for similar reservoirs in France and beyond.</w:t>
      </w:r>
    </w:p>
    <w:bookmarkEnd w:id="22"/>
    <w:bookmarkStart w:id="23"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Reservoir Model</w:t>
            </w:r>
          </w:p>
        </w:tc>
        <w:tc>
          <w:tcPr/>
          <w:p>
            <w:pPr>
              <w:pStyle w:val="Compact"/>
              <w:jc w:val="left"/>
            </w:pPr>
            <w:r>
              <w:t xml:space="preserve">Core sample from a French oil field</w:t>
            </w:r>
          </w:p>
        </w:tc>
        <w:tc>
          <w:tcPr/>
          <w:p>
            <w:pPr>
              <w:pStyle w:val="Compact"/>
              <w:jc w:val="left"/>
            </w:pPr>
            <w:r>
              <w:t xml:space="preserve">1</w:t>
            </w:r>
          </w:p>
        </w:tc>
      </w:tr>
      <w:tr>
        <w:tc>
          <w:tcPr/>
          <w:p>
            <w:pPr>
              <w:pStyle w:val="Compact"/>
              <w:jc w:val="left"/>
            </w:pPr>
            <w:r>
              <w:t xml:space="preserve">Chemical Surfactant</w:t>
            </w:r>
          </w:p>
        </w:tc>
        <w:tc>
          <w:tcPr/>
          <w:p>
            <w:pPr>
              <w:pStyle w:val="Compact"/>
              <w:jc w:val="left"/>
            </w:pPr>
            <w:r>
              <w:t xml:space="preserve">Novel surfactant solution</w:t>
            </w:r>
          </w:p>
        </w:tc>
        <w:tc>
          <w:tcPr/>
          <w:p>
            <w:pPr>
              <w:pStyle w:val="Compact"/>
              <w:jc w:val="left"/>
            </w:pPr>
            <w:r>
              <w:t xml:space="preserve">500 mL</w:t>
            </w:r>
          </w:p>
        </w:tc>
      </w:tr>
      <w:tr>
        <w:tc>
          <w:tcPr/>
          <w:p>
            <w:pPr>
              <w:pStyle w:val="Compact"/>
              <w:jc w:val="left"/>
            </w:pPr>
            <w:r>
              <w:t xml:space="preserve">Brine Solution</w:t>
            </w:r>
          </w:p>
        </w:tc>
        <w:tc>
          <w:tcPr/>
          <w:p>
            <w:pPr>
              <w:pStyle w:val="Compact"/>
              <w:jc w:val="left"/>
            </w:pPr>
            <w:r>
              <w:t xml:space="preserve">Synthetic brine matching reservoir conditions</w:t>
            </w:r>
          </w:p>
        </w:tc>
        <w:tc>
          <w:tcPr/>
          <w:p>
            <w:pPr>
              <w:pStyle w:val="Compact"/>
              <w:jc w:val="left"/>
            </w:pPr>
            <w:r>
              <w:t xml:space="preserve">1 L</w:t>
            </w:r>
          </w:p>
        </w:tc>
      </w:tr>
      <w:tr>
        <w:tc>
          <w:tcPr/>
          <w:p>
            <w:pPr>
              <w:pStyle w:val="Compact"/>
              <w:jc w:val="left"/>
            </w:pPr>
            <w:r>
              <w:t xml:space="preserve">High-Pressure Pump</w:t>
            </w:r>
          </w:p>
        </w:tc>
        <w:tc>
          <w:tcPr/>
          <w:p>
            <w:pPr>
              <w:pStyle w:val="Compact"/>
              <w:jc w:val="left"/>
            </w:pPr>
            <w:r>
              <w:t xml:space="preserve">For injecting fluids into the core sample</w:t>
            </w:r>
          </w:p>
        </w:tc>
        <w:tc>
          <w:tcPr/>
          <w:p>
            <w:pPr>
              <w:pStyle w:val="Compact"/>
              <w:jc w:val="left"/>
            </w:pPr>
            <w:r>
              <w:t xml:space="preserve">1</w:t>
            </w:r>
          </w:p>
        </w:tc>
      </w:tr>
      <w:tr>
        <w:tc>
          <w:tcPr/>
          <w:p>
            <w:pPr>
              <w:pStyle w:val="Compact"/>
              <w:jc w:val="left"/>
            </w:pPr>
            <w:r>
              <w:t xml:space="preserve">Pressure Transducers</w:t>
            </w:r>
          </w:p>
        </w:tc>
        <w:tc>
          <w:tcPr/>
          <w:p>
            <w:pPr>
              <w:pStyle w:val="Compact"/>
              <w:jc w:val="left"/>
            </w:pPr>
            <w:r>
              <w:t xml:space="preserve">For monitoring pressure changes</w:t>
            </w:r>
          </w:p>
        </w:tc>
        <w:tc>
          <w:tcPr/>
          <w:p>
            <w:pPr>
              <w:pStyle w:val="Compact"/>
              <w:jc w:val="left"/>
            </w:pPr>
            <w:r>
              <w:t xml:space="preserve">2</w:t>
            </w:r>
          </w:p>
        </w:tc>
      </w:tr>
      <w:tr>
        <w:tc>
          <w:tcPr/>
          <w:p>
            <w:pPr>
              <w:pStyle w:val="Compact"/>
              <w:jc w:val="left"/>
            </w:pPr>
            <w:r>
              <w:t xml:space="preserve">Flow Meters</w:t>
            </w:r>
          </w:p>
        </w:tc>
        <w:tc>
          <w:tcPr/>
          <w:p>
            <w:pPr>
              <w:pStyle w:val="Compact"/>
              <w:jc w:val="left"/>
            </w:pPr>
            <w:r>
              <w:t xml:space="preserve">For measuring fluid flow rates</w:t>
            </w:r>
          </w:p>
        </w:tc>
        <w:tc>
          <w:tcPr/>
          <w:p>
            <w:pPr>
              <w:pStyle w:val="Compact"/>
              <w:jc w:val="left"/>
            </w:pPr>
            <w:r>
              <w:t xml:space="preserve">2</w:t>
            </w:r>
          </w:p>
        </w:tc>
      </w:tr>
      <w:tr>
        <w:tc>
          <w:tcPr/>
          <w:p>
            <w:pPr>
              <w:pStyle w:val="Compact"/>
              <w:jc w:val="left"/>
            </w:pPr>
            <w:r>
              <w:t xml:space="preserve">Data Acquisition System</w:t>
            </w:r>
          </w:p>
        </w:tc>
        <w:tc>
          <w:tcPr/>
          <w:p>
            <w:pPr>
              <w:pStyle w:val="Compact"/>
              <w:jc w:val="left"/>
            </w:pPr>
            <w:r>
              <w:t xml:space="preserve">For recording experimental data</w:t>
            </w:r>
          </w:p>
        </w:tc>
        <w:tc>
          <w:tcPr/>
          <w:p>
            <w:pPr>
              <w:pStyle w:val="Compact"/>
              <w:jc w:val="left"/>
            </w:pPr>
            <w:r>
              <w:t xml:space="preserve">1</w:t>
            </w:r>
          </w:p>
        </w:tc>
      </w:tr>
    </w:tbl>
    <w:bookmarkEnd w:id="23"/>
    <w:bookmarkStart w:id="24" w:name="experimental-setup"/>
    <w:p>
      <w:pPr>
        <w:pStyle w:val="Heading2"/>
      </w:pPr>
      <w:r>
        <w:t xml:space="preserve">4. Experimental Setup</w:t>
      </w:r>
    </w:p>
    <w:p>
      <w:pPr>
        <w:pStyle w:val="FirstParagraph"/>
      </w:pPr>
      <w:r>
        <w:t xml:space="preserve">The experiment will be conducted in a controlled laboratory environment in Lyon, France. The setup includes a high-pressure core holder where the reservoir model will be placed. The core holder is connected to a high-pressure pump for fluid injection and equipped with pressure transducers and flow meters for real-time monitoring. The data acquisition system will record all relevant parameters throughout the experiment.</w:t>
      </w:r>
    </w:p>
    <w:bookmarkEnd w:id="24"/>
    <w:bookmarkStart w:id="29" w:name="procedure"/>
    <w:p>
      <w:pPr>
        <w:pStyle w:val="Heading2"/>
      </w:pPr>
      <w:r>
        <w:t xml:space="preserve">5. Procedure</w:t>
      </w:r>
    </w:p>
    <w:bookmarkStart w:id="25" w:name="preparation"/>
    <w:p>
      <w:pPr>
        <w:pStyle w:val="Heading3"/>
      </w:pPr>
      <w:r>
        <w:t xml:space="preserve">5.1 Preparation</w:t>
      </w:r>
    </w:p>
    <w:p>
      <w:pPr>
        <w:numPr>
          <w:ilvl w:val="0"/>
          <w:numId w:val="1002"/>
        </w:numPr>
        <w:pStyle w:val="Compact"/>
      </w:pPr>
      <w:r>
        <w:t xml:space="preserve">Ensure all equipment is calibrated and functioning correctly.</w:t>
      </w:r>
    </w:p>
    <w:p>
      <w:pPr>
        <w:numPr>
          <w:ilvl w:val="0"/>
          <w:numId w:val="1002"/>
        </w:numPr>
        <w:pStyle w:val="Compact"/>
      </w:pPr>
      <w:r>
        <w:t xml:space="preserve">Prepare the reservoir model by saturating it with synthetic brine to simulate reservoir conditions.</w:t>
      </w:r>
    </w:p>
    <w:p>
      <w:pPr>
        <w:numPr>
          <w:ilvl w:val="0"/>
          <w:numId w:val="1002"/>
        </w:numPr>
        <w:pStyle w:val="Compact"/>
      </w:pPr>
      <w:r>
        <w:t xml:space="preserve">Prepare the chemical surfactant solution according to the specified concentration.</w:t>
      </w:r>
    </w:p>
    <w:bookmarkEnd w:id="25"/>
    <w:bookmarkStart w:id="26" w:name="baseline-measurement"/>
    <w:p>
      <w:pPr>
        <w:pStyle w:val="Heading3"/>
      </w:pPr>
      <w:r>
        <w:t xml:space="preserve">5.2 Baseline Measurement</w:t>
      </w:r>
    </w:p>
    <w:p>
      <w:pPr>
        <w:numPr>
          <w:ilvl w:val="0"/>
          <w:numId w:val="1003"/>
        </w:numPr>
        <w:pStyle w:val="Compact"/>
      </w:pPr>
      <w:r>
        <w:t xml:space="preserve">Inject brine into the core sample at a constant rate to establish baseline flow and pressure data.</w:t>
      </w:r>
    </w:p>
    <w:p>
      <w:pPr>
        <w:numPr>
          <w:ilvl w:val="0"/>
          <w:numId w:val="1003"/>
        </w:numPr>
        <w:pStyle w:val="Compact"/>
      </w:pPr>
      <w:r>
        <w:t xml:space="preserve">Record the initial oil recovery rate and other relevant parameters.</w:t>
      </w:r>
    </w:p>
    <w:bookmarkEnd w:id="26"/>
    <w:bookmarkStart w:id="27" w:name="surfactant-injection"/>
    <w:p>
      <w:pPr>
        <w:pStyle w:val="Heading3"/>
      </w:pPr>
      <w:r>
        <w:t xml:space="preserve">5.3 Surfactant Injection</w:t>
      </w:r>
    </w:p>
    <w:p>
      <w:pPr>
        <w:numPr>
          <w:ilvl w:val="0"/>
          <w:numId w:val="1004"/>
        </w:numPr>
        <w:pStyle w:val="Compact"/>
      </w:pPr>
      <w:r>
        <w:t xml:space="preserve">Switch the injection fluid to the chemical surfactant solution.</w:t>
      </w:r>
    </w:p>
    <w:p>
      <w:pPr>
        <w:numPr>
          <w:ilvl w:val="0"/>
          <w:numId w:val="1004"/>
        </w:numPr>
        <w:pStyle w:val="Compact"/>
      </w:pPr>
      <w:r>
        <w:t xml:space="preserve">Maintain the same injection rate as in the baseline measurement.</w:t>
      </w:r>
    </w:p>
    <w:p>
      <w:pPr>
        <w:numPr>
          <w:ilvl w:val="0"/>
          <w:numId w:val="1004"/>
        </w:numPr>
        <w:pStyle w:val="Compact"/>
      </w:pPr>
      <w:r>
        <w:t xml:space="preserve">Monitor and record changes in pressure, flow rate, and oil recovery.</w:t>
      </w:r>
    </w:p>
    <w:bookmarkEnd w:id="27"/>
    <w:bookmarkStart w:id="28" w:name="post-injection-analysis"/>
    <w:p>
      <w:pPr>
        <w:pStyle w:val="Heading3"/>
      </w:pPr>
      <w:r>
        <w:t xml:space="preserve">5.4 Post-Injection Analysis</w:t>
      </w:r>
    </w:p>
    <w:p>
      <w:pPr>
        <w:numPr>
          <w:ilvl w:val="0"/>
          <w:numId w:val="1005"/>
        </w:numPr>
        <w:pStyle w:val="Compact"/>
      </w:pPr>
      <w:r>
        <w:t xml:space="preserve">After a predetermined period, switch back to brine injection to flush out the surfactant.</w:t>
      </w:r>
    </w:p>
    <w:p>
      <w:pPr>
        <w:numPr>
          <w:ilvl w:val="0"/>
          <w:numId w:val="1005"/>
        </w:numPr>
        <w:pStyle w:val="Compact"/>
      </w:pPr>
      <w:r>
        <w:t xml:space="preserve">Continue monitoring until steady-state conditions are achieved.</w:t>
      </w:r>
    </w:p>
    <w:p>
      <w:pPr>
        <w:numPr>
          <w:ilvl w:val="0"/>
          <w:numId w:val="1005"/>
        </w:numPr>
        <w:pStyle w:val="Compact"/>
      </w:pPr>
      <w:r>
        <w:t xml:space="preserve">Collect and analyze the produced fluids for chemical composition and oil content.</w:t>
      </w:r>
    </w:p>
    <w:bookmarkEnd w:id="28"/>
    <w:bookmarkEnd w:id="29"/>
    <w:bookmarkStart w:id="30" w:name="data-analysis"/>
    <w:p>
      <w:pPr>
        <w:pStyle w:val="Heading2"/>
      </w:pPr>
      <w:r>
        <w:t xml:space="preserve">6. Data Analysis</w:t>
      </w:r>
    </w:p>
    <w:p>
      <w:pPr>
        <w:pStyle w:val="FirstParagraph"/>
      </w:pPr>
      <w:r>
        <w:t xml:space="preserve">The data collected during the experiment will be analyzed to determine the effectiveness of the chemical surfactant in enhancing oil recovery. Key metrics include:</w:t>
      </w:r>
    </w:p>
    <w:p>
      <w:pPr>
        <w:numPr>
          <w:ilvl w:val="0"/>
          <w:numId w:val="1006"/>
        </w:numPr>
        <w:pStyle w:val="Compact"/>
      </w:pPr>
      <w:r>
        <w:t xml:space="preserve">Oil recovery factor</w:t>
      </w:r>
    </w:p>
    <w:p>
      <w:pPr>
        <w:numPr>
          <w:ilvl w:val="0"/>
          <w:numId w:val="1006"/>
        </w:numPr>
        <w:pStyle w:val="Compact"/>
      </w:pPr>
      <w:r>
        <w:t xml:space="preserve">Pressure drop across the core sample</w:t>
      </w:r>
    </w:p>
    <w:p>
      <w:pPr>
        <w:numPr>
          <w:ilvl w:val="0"/>
          <w:numId w:val="1006"/>
        </w:numPr>
        <w:pStyle w:val="Compact"/>
      </w:pPr>
      <w:r>
        <w:t xml:space="preserve">Flow rate changes</w:t>
      </w:r>
    </w:p>
    <w:p>
      <w:pPr>
        <w:numPr>
          <w:ilvl w:val="0"/>
          <w:numId w:val="1006"/>
        </w:numPr>
        <w:pStyle w:val="Compact"/>
      </w:pPr>
      <w:r>
        <w:t xml:space="preserve">Chemical composition of produced fluids</w:t>
      </w:r>
    </w:p>
    <w:p>
      <w:pPr>
        <w:pStyle w:val="FirstParagraph"/>
      </w:pPr>
      <w:r>
        <w:t xml:space="preserve">Statistical methods will be employed to ensure the reliability of the results. The Petroleum Engineer will prepare a detailed report summarizing the findings and their implications for EOR strategies.</w:t>
      </w:r>
    </w:p>
    <w:bookmarkEnd w:id="30"/>
    <w:bookmarkStart w:id="31" w:name="safety-considerations"/>
    <w:p>
      <w:pPr>
        <w:pStyle w:val="Heading2"/>
      </w:pPr>
      <w:r>
        <w:t xml:space="preserve">7. Safety Considerations</w:t>
      </w:r>
    </w:p>
    <w:p>
      <w:pPr>
        <w:pStyle w:val="FirstParagraph"/>
      </w:pPr>
      <w:r>
        <w:t xml:space="preserve">All personnel involved in the experiment must adhere to strict safety protocols. This includes:</w:t>
      </w:r>
    </w:p>
    <w:p>
      <w:pPr>
        <w:numPr>
          <w:ilvl w:val="0"/>
          <w:numId w:val="1007"/>
        </w:numPr>
        <w:pStyle w:val="Compact"/>
      </w:pPr>
      <w:r>
        <w:t xml:space="preserve">Wearing appropriate personal protective equipment (PPE).</w:t>
      </w:r>
    </w:p>
    <w:p>
      <w:pPr>
        <w:numPr>
          <w:ilvl w:val="0"/>
          <w:numId w:val="1007"/>
        </w:numPr>
        <w:pStyle w:val="Compact"/>
      </w:pPr>
      <w:r>
        <w:t xml:space="preserve">Ensuring proper ventilation in the laboratory.</w:t>
      </w:r>
    </w:p>
    <w:p>
      <w:pPr>
        <w:numPr>
          <w:ilvl w:val="0"/>
          <w:numId w:val="1007"/>
        </w:numPr>
        <w:pStyle w:val="Compact"/>
      </w:pPr>
      <w:r>
        <w:t xml:space="preserve">Handling chemicals with care and following all safety data sheet (SDS) guidelines.</w:t>
      </w:r>
    </w:p>
    <w:p>
      <w:pPr>
        <w:numPr>
          <w:ilvl w:val="0"/>
          <w:numId w:val="1007"/>
        </w:numPr>
        <w:pStyle w:val="Compact"/>
      </w:pPr>
      <w:r>
        <w:t xml:space="preserve">Regularly inspecting equipment for any signs of wear or malfunction.</w:t>
      </w:r>
    </w:p>
    <w:bookmarkEnd w:id="31"/>
    <w:bookmarkStart w:id="32" w:name="conclusion"/>
    <w:p>
      <w:pPr>
        <w:pStyle w:val="Heading2"/>
      </w:pPr>
      <w:r>
        <w:t xml:space="preserve">8. Conclusion</w:t>
      </w:r>
    </w:p>
    <w:p>
      <w:pPr>
        <w:pStyle w:val="FirstParagraph"/>
      </w:pPr>
      <w:r>
        <w:t xml:space="preserve">This Experiment Protocol provides a comprehensive guide for conducting an Enhanced Oil Recovery simulation experiment in Lyon, France. By following these procedures, the Petroleum Engineer will be able to obtain valuable insights into the effectiveness of the novel chemical surfactant. The results of this experiment will contribute to the advancement of EOR technologies and support sustainable oil production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 - Lyon, France</dc:title>
  <dc:creator/>
  <dc:language>en</dc:language>
  <cp:keywords/>
  <dcterms:created xsi:type="dcterms:W3CDTF">2026-10-10T03:58:37Z</dcterms:created>
  <dcterms:modified xsi:type="dcterms:W3CDTF">2026-10-10T03:58:37Z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