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p>
    <w:bookmarkStart w:id="20" w:name="Xefc23a61d0b05ac0e5a79870131e6dac05f9c39"/>
    <w:p>
      <w:pPr>
        <w:pStyle w:val="Heading1"/>
      </w:pPr>
      <w:r>
        <w:t xml:space="preserve">Experiment Protocol: Enhanced Oil Recovery (EOR) Simulation</w:t>
      </w:r>
    </w:p>
    <w:p>
      <w:pPr>
        <w:pStyle w:val="FirstParagraph"/>
      </w:pPr>
      <w:r>
        <w:rPr>
          <w:bCs/>
          <w:b/>
        </w:rPr>
        <w:t xml:space="preserve">Location:</w:t>
      </w:r>
      <w:r>
        <w:t xml:space="preserve"> </w:t>
      </w:r>
      <w:r>
        <w:t xml:space="preserve">Technical University of Frankfurt, Institute for Energy Resources Engineering, Frankfurt am Main, Germany</w:t>
      </w:r>
    </w:p>
    <w:p>
      <w:pPr>
        <w:pStyle w:val="BodyText"/>
      </w:pPr>
      <w:r>
        <w:rPr>
          <w:bCs/>
          <w:b/>
        </w:rPr>
        <w:t xml:space="preserve">Role:</w:t>
      </w:r>
      <w:r>
        <w:t xml:space="preserve"> </w:t>
      </w:r>
      <w:r>
        <w:t xml:space="preserve">Petroleum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FRK-PE-EOR-2023-042</w:t>
      </w:r>
    </w:p>
    <w:bookmarkEnd w:id="20"/>
    <w:p>
      <w:pPr>
        <w:pStyle w:val="BodyText"/>
      </w:pPr>
      <w:r>
        <w:t xml:space="preserve">1. Objective</w:t>
      </w:r>
    </w:p>
    <w:p>
      <w:pPr>
        <w:pStyle w:val="BodyText"/>
      </w:pPr>
      <w:r>
        <w:t xml:space="preserve">The primary objective of this experiment is to evaluate the efficiency of a novel surfactant-polymer flooding technique for Enhanced Oil Recovery (EOR) in low-permeability sandstone reservoirs. This protocol is designed and executed by a Petroleum Engineer operating within the regulatory and technical framework of Germany Frankfurt. The study aims to quantify the incremental oil recovery factor compared to conventional water flooding, ensuring compliance with German environmental standards (BImSchV) and safety regulations (DGUV).</w:t>
      </w:r>
    </w:p>
    <w:p>
      <w:pPr>
        <w:pStyle w:val="BodyText"/>
      </w:pPr>
      <w:r>
        <w:t xml:space="preserve">2. Scope and Context</w:t>
      </w:r>
    </w:p>
    <w:p>
      <w:pPr>
        <w:pStyle w:val="BodyText"/>
      </w:pPr>
      <w:r>
        <w:t xml:space="preserve">This experiment is part of a broader research initiative focused on maximizing hydrocarbon extraction from mature fields in the North German Basin. As a Petroleum Engineer, the focus is on optimizing reservoir performance while minimizing environmental impact. The laboratory setup in Frankfurt am Main utilizes core samples sourced from the Rotliegend formation, simulating realistic reservoir conditions. The protocol adheres to DIN EN ISO 17025 standards for testing and calibration laboratories.</w:t>
      </w:r>
    </w:p>
    <w:p>
      <w:pPr>
        <w:pStyle w:val="BodyText"/>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Sandstone, 2.5 cm diameter, 10 cm length, permeability 50-100 mD</w:t>
            </w:r>
          </w:p>
        </w:tc>
        <w:tc>
          <w:tcPr/>
          <w:p>
            <w:pPr>
              <w:pStyle w:val="Compact"/>
              <w:jc w:val="left"/>
            </w:pPr>
            <w:r>
              <w:t xml:space="preserve">3</w:t>
            </w:r>
          </w:p>
        </w:tc>
      </w:tr>
      <w:tr>
        <w:tc>
          <w:tcPr/>
          <w:p>
            <w:pPr>
              <w:pStyle w:val="Compact"/>
              <w:jc w:val="left"/>
            </w:pPr>
            <w:r>
              <w:t xml:space="preserve">Core Holder</w:t>
            </w:r>
          </w:p>
        </w:tc>
        <w:tc>
          <w:tcPr/>
          <w:p>
            <w:pPr>
              <w:pStyle w:val="Compact"/>
              <w:jc w:val="left"/>
            </w:pPr>
            <w:r>
              <w:t xml:space="preserve">High-pressure, stainless steel, rated to 100 MPa</w:t>
            </w:r>
          </w:p>
        </w:tc>
        <w:tc>
          <w:tcPr/>
          <w:p>
            <w:pPr>
              <w:pStyle w:val="Compact"/>
              <w:jc w:val="left"/>
            </w:pPr>
            <w:r>
              <w:t xml:space="preserve">1</w:t>
            </w:r>
          </w:p>
        </w:tc>
      </w:tr>
      <w:tr>
        <w:tc>
          <w:tcPr/>
          <w:p>
            <w:pPr>
              <w:pStyle w:val="Compact"/>
              <w:jc w:val="left"/>
            </w:pPr>
            <w:r>
              <w:t xml:space="preserve">Surfactant Solution</w:t>
            </w:r>
          </w:p>
        </w:tc>
        <w:tc>
          <w:tcPr/>
          <w:p>
            <w:pPr>
              <w:pStyle w:val="Compact"/>
              <w:jc w:val="left"/>
            </w:pPr>
            <w:r>
              <w:t xml:space="preserve">Non-ionic, biodegradable, concentration 0.5 wt%</w:t>
            </w:r>
          </w:p>
        </w:tc>
        <w:tc>
          <w:tcPr/>
          <w:p>
            <w:pPr>
              <w:pStyle w:val="Compact"/>
              <w:jc w:val="left"/>
            </w:pPr>
            <w:r>
              <w:t xml:space="preserve">5 L</w:t>
            </w:r>
          </w:p>
        </w:tc>
      </w:tr>
      <w:tr>
        <w:tc>
          <w:tcPr/>
          <w:p>
            <w:pPr>
              <w:pStyle w:val="Compact"/>
              <w:jc w:val="left"/>
            </w:pPr>
            <w:r>
              <w:t xml:space="preserve">Polymer Solution</w:t>
            </w:r>
          </w:p>
        </w:tc>
        <w:tc>
          <w:tcPr/>
          <w:p>
            <w:pPr>
              <w:pStyle w:val="Compact"/>
              <w:jc w:val="left"/>
            </w:pPr>
            <w:r>
              <w:t xml:space="preserve">Xanthan gum, concentration 1000 ppm</w:t>
            </w:r>
          </w:p>
        </w:tc>
        <w:tc>
          <w:tcPr/>
          <w:p>
            <w:pPr>
              <w:pStyle w:val="Compact"/>
              <w:jc w:val="left"/>
            </w:pPr>
            <w:r>
              <w:t xml:space="preserve">5 L</w:t>
            </w:r>
          </w:p>
        </w:tc>
      </w:tr>
      <w:tr>
        <w:tc>
          <w:tcPr/>
          <w:p>
            <w:pPr>
              <w:pStyle w:val="Compact"/>
              <w:jc w:val="left"/>
            </w:pPr>
            <w:r>
              <w:t xml:space="preserve">Brine</w:t>
            </w:r>
          </w:p>
        </w:tc>
        <w:tc>
          <w:tcPr/>
          <w:p>
            <w:pPr>
              <w:pStyle w:val="Compact"/>
              <w:jc w:val="left"/>
            </w:pPr>
            <w:r>
              <w:t xml:space="preserve">Synthetic formation water, 50,000 ppm TDS</w:t>
            </w:r>
          </w:p>
        </w:tc>
        <w:tc>
          <w:tcPr/>
          <w:p>
            <w:pPr>
              <w:pStyle w:val="Compact"/>
              <w:jc w:val="left"/>
            </w:pPr>
            <w:r>
              <w:t xml:space="preserve">20 L</w:t>
            </w:r>
          </w:p>
        </w:tc>
      </w:tr>
      <w:tr>
        <w:tc>
          <w:tcPr/>
          <w:p>
            <w:pPr>
              <w:pStyle w:val="Compact"/>
              <w:jc w:val="left"/>
            </w:pPr>
            <w:r>
              <w:t xml:space="preserve">Pressure Transducers</w:t>
            </w:r>
          </w:p>
        </w:tc>
        <w:tc>
          <w:tcPr/>
          <w:p>
            <w:pPr>
              <w:pStyle w:val="Compact"/>
              <w:jc w:val="left"/>
            </w:pPr>
            <w:r>
              <w:t xml:space="preserve">Accuracy ±0.1% FS, range 0-100 MPa</w:t>
            </w:r>
          </w:p>
        </w:tc>
        <w:tc>
          <w:tcPr/>
          <w:p>
            <w:pPr>
              <w:pStyle w:val="Compact"/>
              <w:jc w:val="left"/>
            </w:pPr>
            <w:r>
              <w:t xml:space="preserve">2</w:t>
            </w:r>
          </w:p>
        </w:tc>
      </w:tr>
      <w:tr>
        <w:tc>
          <w:tcPr/>
          <w:p>
            <w:pPr>
              <w:pStyle w:val="Compact"/>
              <w:jc w:val="left"/>
            </w:pPr>
            <w:r>
              <w:t xml:space="preserve">Flow Rate Controller</w:t>
            </w:r>
          </w:p>
        </w:tc>
        <w:tc>
          <w:tcPr/>
          <w:p>
            <w:pPr>
              <w:pStyle w:val="Compact"/>
              <w:jc w:val="left"/>
            </w:pPr>
            <w:r>
              <w:t xml:space="preserve">Positive displacement pump, range 0.1-10 mL/min</w:t>
            </w:r>
          </w:p>
        </w:tc>
        <w:tc>
          <w:tcPr/>
          <w:p>
            <w:pPr>
              <w:pStyle w:val="Compact"/>
              <w:jc w:val="left"/>
            </w:pPr>
            <w:r>
              <w:t xml:space="preserve">1</w:t>
            </w:r>
          </w:p>
        </w:tc>
      </w:tr>
    </w:tbl>
    <w:p>
      <w:pPr>
        <w:pStyle w:val="BodyText"/>
      </w:pPr>
      <w:r>
        <w:t xml:space="preserve">4. Safety and Environmental Compliance</w:t>
      </w:r>
    </w:p>
    <w:p>
      <w:pPr>
        <w:pStyle w:val="BodyText"/>
      </w:pPr>
      <w:r>
        <w:t xml:space="preserve">All procedures must comply with German occupational safety regulations (Arbeitsschutzgesetz) and chemical handling guidelines (Gefahrstoffverordnung). Personal protective equipment (PPE) including safety goggles, gloves, and lab coats is mandatory. Waste disposal must follow the principles of the Kreislaufwirtschaftsgesetz (Circular Economy Act). Any spills must be reported immediately to the laboratory safety officer.</w:t>
      </w:r>
    </w:p>
    <w:p>
      <w:pPr>
        <w:pStyle w:val="BodyText"/>
      </w:pPr>
      <w:r>
        <w:t xml:space="preserve">5. Procedure</w:t>
      </w:r>
    </w:p>
    <w:p>
      <w:pPr>
        <w:numPr>
          <w:ilvl w:val="0"/>
          <w:numId w:val="1001"/>
        </w:numPr>
        <w:pStyle w:val="Compact"/>
      </w:pPr>
      <w:r>
        <w:rPr>
          <w:bCs/>
          <w:b/>
        </w:rPr>
        <w:t xml:space="preserve">Core Preparation:</w:t>
      </w:r>
      <w:r>
        <w:t xml:space="preserve"> </w:t>
      </w:r>
      <w:r>
        <w:t xml:space="preserve">Clean core samples using toluene and methanol to remove residual hydrocarbons. Dry samples at 60°C for 24 hours. Measure initial weight and dimensions.</w:t>
      </w:r>
    </w:p>
    <w:p>
      <w:pPr>
        <w:numPr>
          <w:ilvl w:val="0"/>
          <w:numId w:val="1001"/>
        </w:numPr>
        <w:pStyle w:val="Compact"/>
      </w:pPr>
      <w:r>
        <w:rPr>
          <w:bCs/>
          <w:b/>
        </w:rPr>
        <w:t xml:space="preserve">Saturation:</w:t>
      </w:r>
      <w:r>
        <w:t xml:space="preserve"> </w:t>
      </w:r>
      <w:r>
        <w:t xml:space="preserve">Saturate cores with synthetic brine under vacuum for 12 hours. Then, saturate with crude oil at reservoir pressure (30 MPa) and temperature (80°C) for 48 hours.</w:t>
      </w:r>
    </w:p>
    <w:p>
      <w:pPr>
        <w:numPr>
          <w:ilvl w:val="0"/>
          <w:numId w:val="1001"/>
        </w:numPr>
        <w:pStyle w:val="Compact"/>
      </w:pPr>
      <w:r>
        <w:rPr>
          <w:bCs/>
          <w:b/>
        </w:rPr>
        <w:t xml:space="preserve">Initial Water Flooding:</w:t>
      </w:r>
      <w:r>
        <w:t xml:space="preserve"> </w:t>
      </w:r>
      <w:r>
        <w:t xml:space="preserve">Inject brine at a constant flow rate of 1 mL/min until breakthrough. Record pressure drop and cumulative oil production.</w:t>
      </w:r>
    </w:p>
    <w:p>
      <w:pPr>
        <w:numPr>
          <w:ilvl w:val="0"/>
          <w:numId w:val="1001"/>
        </w:numPr>
        <w:pStyle w:val="Compact"/>
      </w:pPr>
      <w:r>
        <w:rPr>
          <w:bCs/>
          <w:b/>
        </w:rPr>
        <w:t xml:space="preserve">Surfactant-Polymer Injection:</w:t>
      </w:r>
      <w:r>
        <w:t xml:space="preserve"> </w:t>
      </w:r>
      <w:r>
        <w:t xml:space="preserve">Inject the surfactant-polymer solution at the same flow rate. Monitor pressure response and oil production closely.</w:t>
      </w:r>
    </w:p>
    <w:p>
      <w:pPr>
        <w:numPr>
          <w:ilvl w:val="0"/>
          <w:numId w:val="1001"/>
        </w:numPr>
        <w:pStyle w:val="Compact"/>
      </w:pPr>
      <w:r>
        <w:rPr>
          <w:bCs/>
          <w:b/>
        </w:rPr>
        <w:t xml:space="preserve">Post-Flooding Analysis:</w:t>
      </w:r>
      <w:r>
        <w:t xml:space="preserve"> </w:t>
      </w:r>
      <w:r>
        <w:t xml:space="preserve">After reaching a stable production rate, disassemble the core holder. Extract residual oil and measure final saturation.</w:t>
      </w:r>
    </w:p>
    <w:p>
      <w:pPr>
        <w:pStyle w:val="FirstParagraph"/>
      </w:pPr>
      <w:r>
        <w:t xml:space="preserve">6. Data Collection and Analysis</w:t>
      </w:r>
    </w:p>
    <w:p>
      <w:pPr>
        <w:pStyle w:val="BodyText"/>
      </w:pPr>
      <w:r>
        <w:t xml:space="preserve">The Petroleum Engineer will record the following parameters at regular intervals:</w:t>
      </w:r>
    </w:p>
    <w:p>
      <w:pPr>
        <w:numPr>
          <w:ilvl w:val="0"/>
          <w:numId w:val="1002"/>
        </w:numPr>
        <w:pStyle w:val="Compact"/>
      </w:pPr>
      <w:r>
        <w:t xml:space="preserve">Inlet and outlet pressure</w:t>
      </w:r>
    </w:p>
    <w:p>
      <w:pPr>
        <w:numPr>
          <w:ilvl w:val="0"/>
          <w:numId w:val="1002"/>
        </w:numPr>
        <w:pStyle w:val="Compact"/>
      </w:pPr>
      <w:r>
        <w:t xml:space="preserve">Flow rate</w:t>
      </w:r>
    </w:p>
    <w:p>
      <w:pPr>
        <w:numPr>
          <w:ilvl w:val="0"/>
          <w:numId w:val="1002"/>
        </w:numPr>
        <w:pStyle w:val="Compact"/>
      </w:pPr>
      <w:r>
        <w:t xml:space="preserve">Cumulative oil and water production</w:t>
      </w:r>
    </w:p>
    <w:p>
      <w:pPr>
        <w:numPr>
          <w:ilvl w:val="0"/>
          <w:numId w:val="1002"/>
        </w:numPr>
        <w:pStyle w:val="Compact"/>
      </w:pPr>
      <w:r>
        <w:t xml:space="preserve">Temperature</w:t>
      </w:r>
    </w:p>
    <w:p>
      <w:pPr>
        <w:pStyle w:val="FirstParagraph"/>
      </w:pPr>
      <w:r>
        <w:t xml:space="preserve">Data will be analyzed to calculate the recovery factor, mobility ratio, and capillary number. Results will be compared with baseline water flooding data to assess the effectiveness of the EOR technique.</w:t>
      </w:r>
    </w:p>
    <w:p>
      <w:pPr>
        <w:pStyle w:val="BodyText"/>
      </w:pPr>
      <w:r>
        <w:t xml:space="preserve">7. Expected Outcomes</w:t>
      </w:r>
    </w:p>
    <w:p>
      <w:pPr>
        <w:pStyle w:val="BodyText"/>
      </w:pPr>
      <w:r>
        <w:t xml:space="preserve">It is anticipated that the surfactant-polymer flooding will increase the oil recovery factor by at least 10% compared to water flooding alone. This improvement is attributed to reduced interfacial tension and improved sweep efficiency. The results will contribute to the development of sustainable EOR strategies for reservoirs in Germany Frankfurt and surrounding regions.</w:t>
      </w:r>
    </w:p>
    <w:p>
      <w:pPr>
        <w:pStyle w:val="BodyText"/>
      </w:pPr>
      <w:r>
        <w:t xml:space="preserve">8. Conclusion</w:t>
      </w:r>
    </w:p>
    <w:p>
      <w:pPr>
        <w:pStyle w:val="BodyText"/>
      </w:pPr>
      <w:r>
        <w:t xml:space="preserve">This Experiment Protocol provides a structured approach for evaluating Enhanced Oil Recovery techniques under controlled laboratory conditions. By adhering to rigorous scientific and regulatory standards, the Petroleum Engineer ensures the reliability and applicability of the findings. The insights gained will support informed decision-making in reservoir management and contribute to the advancement of petroleum engineering practices in Germany Frankfurt.</w:t>
      </w:r>
    </w:p>
    <w:p>
      <w:pPr>
        <w:pStyle w:val="BodyText"/>
      </w:pPr>
      <w:r>
        <w:t xml:space="preserve">Document prepared by: [Petroleum Engineer Name]</w:t>
      </w:r>
      <w:r>
        <w:br/>
      </w:r>
      <w:r>
        <w:t xml:space="preserve">Institution: Technical University of Frankfurt</w:t>
      </w:r>
      <w:r>
        <w:br/>
      </w:r>
      <w:r>
        <w:t xml:space="preserve">Location: Frankfurt am Main, Germany</w:t>
      </w:r>
      <w:r>
        <w:br/>
      </w:r>
      <w:r>
        <w:t xml:space="preserve">Contact: [Email Address]</w:t>
      </w:r>
      <w:r>
        <w:br/>
      </w:r>
      <w:r>
        <w:t xml:space="preserve">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dc:title>
  <dc:creator/>
  <dc:language>en</dc:language>
  <cp:keywords/>
  <dcterms:created xsi:type="dcterms:W3CDTF">2026-10-10T02:13:46Z</dcterms:created>
  <dcterms:modified xsi:type="dcterms:W3CDTF">2026-10-10T02:13:46Z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