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p>
    <w:bookmarkStart w:id="20" w:name="X4e84f7a7c57d7c06bfb49e070f153abe03b29dc"/>
    <w:p>
      <w:pPr>
        <w:pStyle w:val="Heading1"/>
      </w:pPr>
      <w:r>
        <w:t xml:space="preserve">Experiment Protocol: Enhanced Oil Recovery Simulation</w:t>
      </w:r>
    </w:p>
    <w:p>
      <w:pPr>
        <w:pStyle w:val="FirstParagraph"/>
      </w:pPr>
      <w:r>
        <w:rPr>
          <w:bCs/>
          <w:b/>
        </w:rPr>
        <w:t xml:space="preserve">Location:</w:t>
      </w:r>
      <w:r>
        <w:t xml:space="preserve"> </w:t>
      </w:r>
      <w:r>
        <w:t xml:space="preserve">Technical University of Munich (TUM), Department of Petroleum Engineering, Munich, Germany</w:t>
      </w:r>
    </w:p>
    <w:p>
      <w:pPr>
        <w:pStyle w:val="BodyText"/>
      </w:pPr>
      <w:r>
        <w:rPr>
          <w:bCs/>
          <w:b/>
        </w:rPr>
        <w:t xml:space="preserve">Prepared by:</w:t>
      </w:r>
      <w:r>
        <w:t xml:space="preserve"> </w:t>
      </w:r>
      <w:r>
        <w:t xml:space="preserve">Lead Petroleum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TUM-PE-EOR-2023-042</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laboratory-scale simulation of Enhanced Oil Recovery (EOR) techniques, specifically focusing on CO2 flooding in carbonate reservoirs. The study is conducted under the supervision of a Petroleum Engineer at the Technical University of Munich, Germany. The primary objective is to evaluate the efficiency of CO2 injection in improving oil recovery rates from tight carbonate formations, which are prevalent in various European and Middle Eastern oil fields.</w:t>
      </w:r>
    </w:p>
    <w:p>
      <w:pPr>
        <w:pStyle w:val="BodyText"/>
      </w:pPr>
      <w:r>
        <w:t xml:space="preserve">The experiment aims to provide data that can be used to optimize field-scale EOR operations, ensuring compliance with environmental regulations in Germany and the European Union. The results will contribute to the broader understanding of sustainable petroleum engineering practices.</w:t>
      </w:r>
    </w:p>
    <w:bookmarkEnd w:id="21"/>
    <w:bookmarkStart w:id="22" w:name="scope-and-applicability"/>
    <w:p>
      <w:pPr>
        <w:pStyle w:val="Heading2"/>
      </w:pPr>
      <w:r>
        <w:t xml:space="preserve">2. Scope and Applicability</w:t>
      </w:r>
    </w:p>
    <w:p>
      <w:pPr>
        <w:pStyle w:val="FirstParagraph"/>
      </w:pPr>
      <w:r>
        <w:t xml:space="preserve">This protocol is applicable to all laboratory experiments conducted at the TUM Petroleum Engineering Lab in Munich, Germany. It is designed for use by Petroleum Engineers, researchers, and graduate students involved in reservoir engineering and EOR studies. The protocol adheres to international standards, including those set by the Society of Petroleum Engineers (SPE) and the German Institute for Standardization (DIN).</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experiment:</w:t>
      </w:r>
    </w:p>
    <w:p>
      <w:pPr>
        <w:numPr>
          <w:ilvl w:val="0"/>
          <w:numId w:val="1001"/>
        </w:numPr>
        <w:pStyle w:val="Compact"/>
      </w:pPr>
      <w:r>
        <w:t xml:space="preserve">Core samples from carbonate reservoirs (diameter: 2.5 cm, length: 10 cm)</w:t>
      </w:r>
    </w:p>
    <w:p>
      <w:pPr>
        <w:numPr>
          <w:ilvl w:val="0"/>
          <w:numId w:val="1001"/>
        </w:numPr>
        <w:pStyle w:val="Compact"/>
      </w:pPr>
      <w:r>
        <w:t xml:space="preserve">Synthetic brine (salinity: 100,000 ppm NaCl)</w:t>
      </w:r>
    </w:p>
    <w:p>
      <w:pPr>
        <w:numPr>
          <w:ilvl w:val="0"/>
          <w:numId w:val="1001"/>
        </w:numPr>
        <w:pStyle w:val="Compact"/>
      </w:pPr>
      <w:r>
        <w:t xml:space="preserve">Crude oil (viscosity: 5 cP at reservoir conditions)</w:t>
      </w:r>
    </w:p>
    <w:p>
      <w:pPr>
        <w:numPr>
          <w:ilvl w:val="0"/>
          <w:numId w:val="1001"/>
        </w:numPr>
        <w:pStyle w:val="Compact"/>
      </w:pPr>
      <w:r>
        <w:t xml:space="preserve">High-purity CO2 gas (99.99%)</w:t>
      </w:r>
    </w:p>
    <w:p>
      <w:pPr>
        <w:numPr>
          <w:ilvl w:val="0"/>
          <w:numId w:val="1001"/>
        </w:numPr>
        <w:pStyle w:val="Compact"/>
      </w:pPr>
      <w:r>
        <w:t xml:space="preserve">Core flooding apparatus (capable of pressures up to 30 MPa and temperatures up to 150°C)</w:t>
      </w:r>
    </w:p>
    <w:p>
      <w:pPr>
        <w:numPr>
          <w:ilvl w:val="0"/>
          <w:numId w:val="1001"/>
        </w:numPr>
        <w:pStyle w:val="Compact"/>
      </w:pPr>
      <w:r>
        <w:t xml:space="preserve">Pressure transducers and temperature sensors</w:t>
      </w:r>
    </w:p>
    <w:p>
      <w:pPr>
        <w:numPr>
          <w:ilvl w:val="0"/>
          <w:numId w:val="1001"/>
        </w:numPr>
        <w:pStyle w:val="Compact"/>
      </w:pPr>
      <w:r>
        <w:t xml:space="preserve">Flow meters and data acquisition system</w:t>
      </w:r>
    </w:p>
    <w:p>
      <w:pPr>
        <w:numPr>
          <w:ilvl w:val="0"/>
          <w:numId w:val="1001"/>
        </w:numPr>
        <w:pStyle w:val="Compact"/>
      </w:pPr>
      <w:r>
        <w:t xml:space="preserve">Safety equipment: gas detectors, fire extinguishers, personal protective equipment (PPE)</w:t>
      </w:r>
    </w:p>
    <w:bookmarkEnd w:id="23"/>
    <w:bookmarkStart w:id="29" w:name="experimental-procedure"/>
    <w:p>
      <w:pPr>
        <w:pStyle w:val="Heading2"/>
      </w:pPr>
      <w:r>
        <w:t xml:space="preserve">4. Experimental Procedure</w:t>
      </w:r>
    </w:p>
    <w:bookmarkStart w:id="24" w:name="preparation-of-core-samples"/>
    <w:p>
      <w:pPr>
        <w:pStyle w:val="Heading3"/>
      </w:pPr>
      <w:r>
        <w:t xml:space="preserve">4.1. Preparation of Core Samples</w:t>
      </w:r>
    </w:p>
    <w:p>
      <w:pPr>
        <w:pStyle w:val="FirstParagraph"/>
      </w:pPr>
      <w:r>
        <w:t xml:space="preserve">Core samples are cleaned and dried in an oven at 105°C for 24 hours. They are then saturated with synthetic brine under vacuum to ensure complete pore filling. The brine saturation is confirmed by measuring the weight of the core before and after saturation.</w:t>
      </w:r>
    </w:p>
    <w:bookmarkEnd w:id="24"/>
    <w:bookmarkStart w:id="25" w:name="oil-saturation"/>
    <w:p>
      <w:pPr>
        <w:pStyle w:val="Heading3"/>
      </w:pPr>
      <w:r>
        <w:t xml:space="preserve">4.2. Oil Saturation</w:t>
      </w:r>
    </w:p>
    <w:p>
      <w:pPr>
        <w:pStyle w:val="FirstParagraph"/>
      </w:pPr>
      <w:r>
        <w:t xml:space="preserve">The brine-saturated core samples are flooded with crude oil at a constant flow rate of 1 mL/min until no more brine is produced. This step ensures that the core samples are at residual water saturation (Swi).</w:t>
      </w:r>
    </w:p>
    <w:bookmarkEnd w:id="25"/>
    <w:bookmarkStart w:id="26" w:name="primary-recovery"/>
    <w:p>
      <w:pPr>
        <w:pStyle w:val="Heading3"/>
      </w:pPr>
      <w:r>
        <w:t xml:space="preserve">4.3. Primary Recovery</w:t>
      </w:r>
    </w:p>
    <w:p>
      <w:pPr>
        <w:pStyle w:val="FirstParagraph"/>
      </w:pPr>
      <w:r>
        <w:t xml:space="preserve">Water flooding is initiated to simulate primary recovery. The core samples are flooded with synthetic brine at a constant rate of 1 mL/min until the water cut reaches 98%. The volume of oil produced is recorded.</w:t>
      </w:r>
    </w:p>
    <w:bookmarkEnd w:id="26"/>
    <w:bookmarkStart w:id="27" w:name="co2-flooding"/>
    <w:p>
      <w:pPr>
        <w:pStyle w:val="Heading3"/>
      </w:pPr>
      <w:r>
        <w:t xml:space="preserve">4.4. CO2 Flooding</w:t>
      </w:r>
    </w:p>
    <w:p>
      <w:pPr>
        <w:pStyle w:val="FirstParagraph"/>
      </w:pPr>
      <w:r>
        <w:t xml:space="preserve">CO2 gas is injected into the core samples at a constant rate of 0.5 mL/min. The pressure and temperature are maintained at reservoir conditions (25 MPa and 120°C). The volume of oil and gas produced is recorded continuously.</w:t>
      </w:r>
    </w:p>
    <w:bookmarkEnd w:id="27"/>
    <w:bookmarkStart w:id="28" w:name="data-collection"/>
    <w:p>
      <w:pPr>
        <w:pStyle w:val="Heading3"/>
      </w:pPr>
      <w:r>
        <w:t xml:space="preserve">4.5. Data Collection</w:t>
      </w:r>
    </w:p>
    <w:p>
      <w:pPr>
        <w:pStyle w:val="FirstParagraph"/>
      </w:pPr>
      <w:r>
        <w:t xml:space="preserve">Pressure, temperature, flow rates, and produced volumes are recorded every minute using the data acquisition system. The data is stored in a secure database for further analysis.</w:t>
      </w:r>
    </w:p>
    <w:bookmarkEnd w:id="28"/>
    <w:bookmarkEnd w:id="29"/>
    <w:bookmarkStart w:id="30" w:name="safety-considerations"/>
    <w:p>
      <w:pPr>
        <w:pStyle w:val="Heading2"/>
      </w:pPr>
      <w:r>
        <w:t xml:space="preserve">5. Safety Considerations</w:t>
      </w:r>
    </w:p>
    <w:p>
      <w:pPr>
        <w:pStyle w:val="FirstParagraph"/>
      </w:pPr>
      <w:r>
        <w:t xml:space="preserve">Safety is a paramount concern in this experiment. The following measures are implemented:</w:t>
      </w:r>
    </w:p>
    <w:p>
      <w:pPr>
        <w:numPr>
          <w:ilvl w:val="0"/>
          <w:numId w:val="1002"/>
        </w:numPr>
        <w:pStyle w:val="Compact"/>
      </w:pPr>
      <w:r>
        <w:t xml:space="preserve">All personnel must wear appropriate PPE, including safety glasses, gloves, and lab coats.</w:t>
      </w:r>
    </w:p>
    <w:p>
      <w:pPr>
        <w:numPr>
          <w:ilvl w:val="0"/>
          <w:numId w:val="1002"/>
        </w:numPr>
        <w:pStyle w:val="Compact"/>
      </w:pPr>
      <w:r>
        <w:t xml:space="preserve">Gas detectors are installed to monitor CO2 levels in the laboratory.</w:t>
      </w:r>
    </w:p>
    <w:p>
      <w:pPr>
        <w:numPr>
          <w:ilvl w:val="0"/>
          <w:numId w:val="1002"/>
        </w:numPr>
        <w:pStyle w:val="Compact"/>
      </w:pPr>
      <w:r>
        <w:t xml:space="preserve">Emergency shutdown procedures are in place in case of equipment failure or gas leaks.</w:t>
      </w:r>
    </w:p>
    <w:p>
      <w:pPr>
        <w:numPr>
          <w:ilvl w:val="0"/>
          <w:numId w:val="1002"/>
        </w:numPr>
        <w:pStyle w:val="Compact"/>
      </w:pPr>
      <w:r>
        <w:t xml:space="preserve">Regular safety drills are conducted to ensure all personnel are familiar with emergency protocols.</w:t>
      </w:r>
    </w:p>
    <w:bookmarkEnd w:id="30"/>
    <w:bookmarkStart w:id="31" w:name="data-analysis-and-reporting"/>
    <w:p>
      <w:pPr>
        <w:pStyle w:val="Heading2"/>
      </w:pPr>
      <w:r>
        <w:t xml:space="preserve">6. Data Analysis and Reporting</w:t>
      </w:r>
    </w:p>
    <w:p>
      <w:pPr>
        <w:pStyle w:val="FirstParagraph"/>
      </w:pPr>
      <w:r>
        <w:t xml:space="preserve">The collected data will be analyzed to determine the oil recovery factor, relative permeability, and CO2 utilization efficiency. The results will be compared with existing literature and field data to validate the experimental findings. A detailed report will be prepared, including:</w:t>
      </w:r>
    </w:p>
    <w:p>
      <w:pPr>
        <w:numPr>
          <w:ilvl w:val="0"/>
          <w:numId w:val="1003"/>
        </w:numPr>
        <w:pStyle w:val="Compact"/>
      </w:pPr>
      <w:r>
        <w:t xml:space="preserve">Summary of experimental procedures</w:t>
      </w:r>
    </w:p>
    <w:p>
      <w:pPr>
        <w:numPr>
          <w:ilvl w:val="0"/>
          <w:numId w:val="1003"/>
        </w:numPr>
        <w:pStyle w:val="Compact"/>
      </w:pPr>
      <w:r>
        <w:t xml:space="preserve">Data tables and graphs</w:t>
      </w:r>
    </w:p>
    <w:p>
      <w:pPr>
        <w:numPr>
          <w:ilvl w:val="0"/>
          <w:numId w:val="1003"/>
        </w:numPr>
        <w:pStyle w:val="Compact"/>
      </w:pPr>
      <w:r>
        <w:t xml:space="preserve">Discussion of results and their implications</w:t>
      </w:r>
    </w:p>
    <w:p>
      <w:pPr>
        <w:numPr>
          <w:ilvl w:val="0"/>
          <w:numId w:val="1003"/>
        </w:numPr>
        <w:pStyle w:val="Compact"/>
      </w:pPr>
      <w:r>
        <w:t xml:space="preserve">Recommendations for field-scale EOR operations</w:t>
      </w:r>
    </w:p>
    <w:p>
      <w:pPr>
        <w:pStyle w:val="FirstParagraph"/>
      </w:pPr>
      <w:r>
        <w:t xml:space="preserve">The report will be submitted to the TUM Petroleum Engineering Department and shared with relevant stakeholders in the industry.</w:t>
      </w:r>
    </w:p>
    <w:bookmarkEnd w:id="31"/>
    <w:bookmarkStart w:id="32" w:name="compliance-and-ethical-considerations"/>
    <w:p>
      <w:pPr>
        <w:pStyle w:val="Heading2"/>
      </w:pPr>
      <w:r>
        <w:t xml:space="preserve">7. Compliance and Ethical Considerations</w:t>
      </w:r>
    </w:p>
    <w:p>
      <w:pPr>
        <w:pStyle w:val="FirstParagraph"/>
      </w:pPr>
      <w:r>
        <w:t xml:space="preserve">This experiment is conducted in compliance with all relevant laws and regulations in Germany and the European Union, including environmental protection laws and workplace safety regulations. Ethical considerations include the responsible use of resources and the minimization of environmental impact.</w:t>
      </w:r>
    </w:p>
    <w:bookmarkEnd w:id="32"/>
    <w:bookmarkStart w:id="33" w:name="conclusion"/>
    <w:p>
      <w:pPr>
        <w:pStyle w:val="Heading2"/>
      </w:pPr>
      <w:r>
        <w:t xml:space="preserve">8. Conclusion</w:t>
      </w:r>
    </w:p>
    <w:p>
      <w:pPr>
        <w:pStyle w:val="FirstParagraph"/>
      </w:pPr>
      <w:r>
        <w:t xml:space="preserve">This Experiment Protocol provides a comprehensive framework for conducting CO2 flooding experiments in the laboratory. By following this protocol, Petroleum Engineers at the Technical University of Munich, Germany, can generate reliable data to support the development of efficient and sustainable EOR techniques. The results of this study will contribute to the advancement of petroleum engineering practices and the optimization of oil recovery operations.</w:t>
      </w:r>
    </w:p>
    <w:bookmarkEnd w:id="33"/>
    <w:p>
      <w:pPr>
        <w:pStyle w:val="BodyText"/>
      </w:pPr>
      <w:r>
        <w:t xml:space="preserve">Document Version: 1.0</w:t>
      </w:r>
    </w:p>
    <w:p>
      <w:pPr>
        <w:pStyle w:val="BodyText"/>
      </w:pPr>
      <w:r>
        <w:t xml:space="preserve">Approved by: Head of Petroleum Engineering Department, TUM Munich</w:t>
      </w:r>
    </w:p>
    <w:p>
      <w:pPr>
        <w:pStyle w:val="BodyText"/>
      </w:pPr>
      <w:r>
        <w:t xml:space="preserve">Next Review Date: October 24,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dc:title>
  <dc:creator/>
  <dc:language>en</dc:language>
  <cp:keywords/>
  <dcterms:created xsi:type="dcterms:W3CDTF">2026-10-10T01:40:00Z</dcterms:created>
  <dcterms:modified xsi:type="dcterms:W3CDTF">2026-10-10T01:40:00Z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