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Simulation</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New</w:t>
      </w:r>
      <w:r>
        <w:t xml:space="preserve"> </w:t>
      </w:r>
      <w:r>
        <w:t xml:space="preserve">Delhi,</w:t>
      </w:r>
      <w:r>
        <w:t xml:space="preserve"> </w:t>
      </w:r>
      <w:r>
        <w:t xml:space="preserve">India</w:t>
      </w:r>
    </w:p>
    <w:p>
      <w:pPr>
        <w:pStyle w:val="FirstParagraph"/>
      </w:pPr>
      <w:r>
        <w:rPr>
          <w:bCs/>
          <w:b/>
        </w:rPr>
        <w:t xml:space="preserve">Document ID:</w:t>
      </w:r>
      <w:r>
        <w:t xml:space="preserve"> </w:t>
      </w:r>
      <w:r>
        <w:t xml:space="preserve">PE-NLD-2023-042</w:t>
      </w:r>
      <w:r>
        <w:br/>
      </w:r>
      <w:r>
        <w:rPr>
          <w:bCs/>
          <w:b/>
        </w:rPr>
        <w:t xml:space="preserve">Version:</w:t>
      </w:r>
      <w:r>
        <w:t xml:space="preserve"> </w:t>
      </w:r>
      <w:r>
        <w:t xml:space="preserve">1.0</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New Delhi, India</w:t>
      </w:r>
    </w:p>
    <w:bookmarkStart w:id="31" w:name="Xc9e35e64826f362c70f10010492a23b0fc65168"/>
    <w:p>
      <w:pPr>
        <w:pStyle w:val="Heading1"/>
      </w:pPr>
      <w:r>
        <w:t xml:space="preserve">Experiment Protocol: Enhanced Oil Recovery (EOR) Simulation for Petroleum Engineers</w:t>
      </w:r>
    </w:p>
    <w:p>
      <w:pPr>
        <w:pStyle w:val="FirstParagraph"/>
      </w:pPr>
      <w:r>
        <w:rPr>
          <w:bCs/>
          <w:b/>
        </w:rPr>
        <w:t xml:space="preserve">Prepared For:</w:t>
      </w:r>
      <w:r>
        <w:t xml:space="preserve"> </w:t>
      </w:r>
      <w:r>
        <w:t xml:space="preserve">Petroleum Engineering Department, National Institute of Technology (NIT) Delhi / Oil &amp; Natural Gas Corporation (ONGC) Research Center.</w:t>
      </w:r>
    </w:p>
    <w:p>
      <w:pPr>
        <w:pStyle w:val="BodyText"/>
      </w:pPr>
      <w:r>
        <w:rPr>
          <w:bCs/>
          <w:b/>
        </w:rPr>
        <w:t xml:space="preserve">Subject:</w:t>
      </w:r>
      <w:r>
        <w:t xml:space="preserve"> </w:t>
      </w:r>
      <w:r>
        <w:t xml:space="preserve">Laboratory-scale investigation of CO2 flooding efficiency in high-salinity reservoir rock samples typical of the Mumbai High and Krishna-Godavari basins.</w:t>
      </w:r>
    </w:p>
    <w:bookmarkStart w:id="20" w:name="introduction-and-objective"/>
    <w:p>
      <w:pPr>
        <w:pStyle w:val="Heading2"/>
      </w:pPr>
      <w:r>
        <w:t xml:space="preserve">1. Introduction and Objective</w:t>
      </w:r>
    </w:p>
    <w:p>
      <w:pPr>
        <w:pStyle w:val="FirstParagraph"/>
      </w:pPr>
      <w:r>
        <w:t xml:space="preserve">This Experiment Protocol is designed specifically for the Petroleum Engineer operating within the regulatory and environmental framework of India New Delhi. As India strives to meet its energy security goals while adhering to the Paris Agreement commitments, the optimization of Enhanced Oil Recovery (EOR) techniques is critical.</w:t>
      </w:r>
    </w:p>
    <w:p>
      <w:pPr>
        <w:pStyle w:val="BodyText"/>
      </w:pPr>
      <w:r>
        <w:t xml:space="preserve">The primary objective of this experiment is to simulate CO2 injection into core samples to determine the incremental oil recovery factor. This protocol ensures that the Petroleum Engineer follows standardized procedures that align with the Bureau of Indian Standards (BIS) and safety regulations enforced in the National Capital Region (NCR).</w:t>
      </w:r>
    </w:p>
    <w:bookmarkEnd w:id="20"/>
    <w:bookmarkStart w:id="21" w:name="scope-and-applicability"/>
    <w:p>
      <w:pPr>
        <w:pStyle w:val="Heading2"/>
      </w:pPr>
      <w:r>
        <w:t xml:space="preserve">2. Scope and Applicability</w:t>
      </w:r>
    </w:p>
    <w:p>
      <w:pPr>
        <w:pStyle w:val="FirstParagraph"/>
      </w:pPr>
      <w:r>
        <w:t xml:space="preserve">This protocol applies to all laboratory personnel and Petroleum Engineers conducting core flooding experiments in facilities located in New Delhi, India. It covers the preparation of rock samples, fluid conditioning, experimental execution, and data analysis. The procedures are adapted to account for the specific geological characteristics of Indian reservoirs and the local environmental conditions.</w:t>
      </w:r>
    </w:p>
    <w:bookmarkEnd w:id="21"/>
    <w:bookmarkStart w:id="22" w:name="X6cbe6a5366965025b05fe480b055042746b7566"/>
    <w:p>
      <w:pPr>
        <w:pStyle w:val="Heading2"/>
      </w:pPr>
      <w:r>
        <w:t xml:space="preserve">3. Safety and Regulatory Compliance (New Delhi Context)</w:t>
      </w:r>
    </w:p>
    <w:p>
      <w:pPr>
        <w:pStyle w:val="FirstParagraph"/>
      </w:pPr>
      <w:r>
        <w:t xml:space="preserve">Given the strict environmental norms in India New Delhi, particularly regarding air quality and hazardous material handling, the following safety measures are mandatory:</w:t>
      </w:r>
    </w:p>
    <w:p>
      <w:pPr>
        <w:numPr>
          <w:ilvl w:val="0"/>
          <w:numId w:val="1001"/>
        </w:numPr>
        <w:pStyle w:val="Compact"/>
      </w:pPr>
      <w:r>
        <w:rPr>
          <w:bCs/>
          <w:b/>
        </w:rPr>
        <w:t xml:space="preserve">CO2 Handling:</w:t>
      </w:r>
      <w:r>
        <w:t xml:space="preserve"> </w:t>
      </w:r>
      <w:r>
        <w:t xml:space="preserve">Carbon dioxide is an asphyxiant. The laboratory must be equipped with CO2 sensors and adequate ventilation systems compliant with the Delhi Pollution Control Committee (DPCC) guidelines.</w:t>
      </w:r>
    </w:p>
    <w:p>
      <w:pPr>
        <w:numPr>
          <w:ilvl w:val="0"/>
          <w:numId w:val="1001"/>
        </w:numPr>
        <w:pStyle w:val="Compact"/>
      </w:pPr>
      <w:r>
        <w:rPr>
          <w:bCs/>
          <w:b/>
        </w:rPr>
        <w:t xml:space="preserve">High-Pressure Equipment:</w:t>
      </w:r>
      <w:r>
        <w:t xml:space="preserve"> </w:t>
      </w:r>
      <w:r>
        <w:t xml:space="preserve">All high-pressure vessels must be inspected and certified according to the Indian Boiler Regulations (IBR).</w:t>
      </w:r>
    </w:p>
    <w:p>
      <w:pPr>
        <w:numPr>
          <w:ilvl w:val="0"/>
          <w:numId w:val="1001"/>
        </w:numPr>
        <w:pStyle w:val="Compact"/>
      </w:pPr>
      <w:r>
        <w:rPr>
          <w:bCs/>
          <w:b/>
        </w:rPr>
        <w:t xml:space="preserve">Waste Disposal:</w:t>
      </w:r>
      <w:r>
        <w:t xml:space="preserve"> </w:t>
      </w:r>
      <w:r>
        <w:t xml:space="preserve">Used brine and hydrocarbon samples must be disposed of as hazardous waste in accordance with the Hazardous and Other Wastes (Management and Transboundary Movement) Rules, 2016.</w:t>
      </w:r>
    </w:p>
    <w:p>
      <w:pPr>
        <w:numPr>
          <w:ilvl w:val="0"/>
          <w:numId w:val="1001"/>
        </w:numPr>
        <w:pStyle w:val="Compact"/>
      </w:pPr>
      <w:r>
        <w:rPr>
          <w:bCs/>
          <w:b/>
        </w:rPr>
        <w:t xml:space="preserve">Personal Protective Equipment (PPE):</w:t>
      </w:r>
      <w:r>
        <w:t xml:space="preserve"> </w:t>
      </w:r>
      <w:r>
        <w:t xml:space="preserve">Petroleum Engineers must wear safety goggles, lab coats, and chemical-resistant gloves at all times.</w:t>
      </w:r>
    </w:p>
    <w:bookmarkEnd w:id="22"/>
    <w:bookmarkStart w:id="23"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Core Samples</w:t>
            </w:r>
          </w:p>
        </w:tc>
        <w:tc>
          <w:tcPr/>
          <w:p>
            <w:pPr>
              <w:pStyle w:val="Compact"/>
              <w:jc w:val="left"/>
            </w:pPr>
            <w:r>
              <w:t xml:space="preserve">Sandstone cores (5 cm length, 2.5 cm diameter) from Indian reservoirs</w:t>
            </w:r>
          </w:p>
        </w:tc>
        <w:tc>
          <w:tcPr/>
          <w:p>
            <w:pPr>
              <w:pStyle w:val="Compact"/>
              <w:jc w:val="left"/>
            </w:pPr>
            <w:r>
              <w:t xml:space="preserve">3</w:t>
            </w:r>
          </w:p>
        </w:tc>
      </w:tr>
      <w:tr>
        <w:tc>
          <w:tcPr/>
          <w:p>
            <w:pPr>
              <w:pStyle w:val="Compact"/>
              <w:jc w:val="left"/>
            </w:pPr>
            <w:r>
              <w:t xml:space="preserve">Core Holder</w:t>
            </w:r>
          </w:p>
        </w:tc>
        <w:tc>
          <w:tcPr/>
          <w:p>
            <w:pPr>
              <w:pStyle w:val="Compact"/>
              <w:jc w:val="left"/>
            </w:pPr>
            <w:r>
              <w:t xml:space="preserve">High-pressure, temperature-controlled (up to 150°C)</w:t>
            </w:r>
          </w:p>
        </w:tc>
        <w:tc>
          <w:tcPr/>
          <w:p>
            <w:pPr>
              <w:pStyle w:val="Compact"/>
              <w:jc w:val="left"/>
            </w:pPr>
            <w:r>
              <w:t xml:space="preserve">1</w:t>
            </w:r>
          </w:p>
        </w:tc>
      </w:tr>
      <w:tr>
        <w:tc>
          <w:tcPr/>
          <w:p>
            <w:pPr>
              <w:pStyle w:val="Compact"/>
              <w:jc w:val="left"/>
            </w:pPr>
            <w:r>
              <w:t xml:space="preserve">CO2 Gas</w:t>
            </w:r>
          </w:p>
        </w:tc>
        <w:tc>
          <w:tcPr/>
          <w:p>
            <w:pPr>
              <w:pStyle w:val="Compact"/>
              <w:jc w:val="left"/>
            </w:pPr>
            <w:r>
              <w:t xml:space="preserve">Food grade or higher purity (99.9%)</w:t>
            </w:r>
          </w:p>
        </w:tc>
        <w:tc>
          <w:tcPr/>
          <w:p>
            <w:pPr>
              <w:pStyle w:val="Compact"/>
              <w:jc w:val="left"/>
            </w:pPr>
            <w:r>
              <w:t xml:space="preserve">5 kg</w:t>
            </w:r>
          </w:p>
        </w:tc>
      </w:tr>
      <w:tr>
        <w:tc>
          <w:tcPr/>
          <w:p>
            <w:pPr>
              <w:pStyle w:val="Compact"/>
              <w:jc w:val="left"/>
            </w:pPr>
            <w:r>
              <w:t xml:space="preserve">Brine</w:t>
            </w:r>
          </w:p>
        </w:tc>
        <w:tc>
          <w:tcPr/>
          <w:p>
            <w:pPr>
              <w:pStyle w:val="Compact"/>
              <w:jc w:val="left"/>
            </w:pPr>
            <w:r>
              <w:t xml:space="preserve">Synthetic brine matching reservoir salinity (e.g., 100,000 ppm TDS)</w:t>
            </w:r>
          </w:p>
        </w:tc>
        <w:tc>
          <w:tcPr/>
          <w:p>
            <w:pPr>
              <w:pStyle w:val="Compact"/>
              <w:jc w:val="left"/>
            </w:pPr>
            <w:r>
              <w:t xml:space="preserve">5 L</w:t>
            </w:r>
          </w:p>
        </w:tc>
      </w:tr>
      <w:tr>
        <w:tc>
          <w:tcPr/>
          <w:p>
            <w:pPr>
              <w:pStyle w:val="Compact"/>
              <w:jc w:val="left"/>
            </w:pPr>
            <w:r>
              <w:t xml:space="preserve">Crude Oil</w:t>
            </w:r>
          </w:p>
        </w:tc>
        <w:tc>
          <w:tcPr/>
          <w:p>
            <w:pPr>
              <w:pStyle w:val="Compact"/>
              <w:jc w:val="left"/>
            </w:pPr>
            <w:r>
              <w:t xml:space="preserve">Live crude oil from Mumbai High field</w:t>
            </w:r>
          </w:p>
        </w:tc>
        <w:tc>
          <w:tcPr/>
          <w:p>
            <w:pPr>
              <w:pStyle w:val="Compact"/>
              <w:jc w:val="left"/>
            </w:pPr>
            <w:r>
              <w:t xml:space="preserve">2 L</w:t>
            </w:r>
          </w:p>
        </w:tc>
      </w:tr>
      <w:tr>
        <w:tc>
          <w:tcPr/>
          <w:p>
            <w:pPr>
              <w:pStyle w:val="Compact"/>
              <w:jc w:val="left"/>
            </w:pPr>
            <w:r>
              <w:t xml:space="preserve">Pressure Transducers</w:t>
            </w:r>
          </w:p>
        </w:tc>
        <w:tc>
          <w:tcPr/>
          <w:p>
            <w:pPr>
              <w:pStyle w:val="Compact"/>
              <w:jc w:val="left"/>
            </w:pPr>
            <w:r>
              <w:t xml:space="preserve">Calibrated, range 0-10,000 psi</w:t>
            </w:r>
          </w:p>
        </w:tc>
        <w:tc>
          <w:tcPr/>
          <w:p>
            <w:pPr>
              <w:pStyle w:val="Compact"/>
              <w:jc w:val="left"/>
            </w:pPr>
            <w:r>
              <w:t xml:space="preserve">2</w:t>
            </w:r>
          </w:p>
        </w:tc>
      </w:tr>
    </w:tbl>
    <w:bookmarkEnd w:id="23"/>
    <w:bookmarkStart w:id="28" w:name="experimental-procedure"/>
    <w:p>
      <w:pPr>
        <w:pStyle w:val="Heading2"/>
      </w:pPr>
      <w:r>
        <w:t xml:space="preserve">5. Experimental Procedure</w:t>
      </w:r>
    </w:p>
    <w:bookmarkStart w:id="24" w:name="sample-preparation"/>
    <w:p>
      <w:pPr>
        <w:pStyle w:val="Heading3"/>
      </w:pPr>
      <w:r>
        <w:t xml:space="preserve">5.1 Sample Preparation</w:t>
      </w:r>
    </w:p>
    <w:p>
      <w:pPr>
        <w:numPr>
          <w:ilvl w:val="0"/>
          <w:numId w:val="1002"/>
        </w:numPr>
        <w:pStyle w:val="Compact"/>
      </w:pPr>
      <w:r>
        <w:t xml:space="preserve">Clean the core samples using toluene and methanol to remove existing hydrocarbons.</w:t>
      </w:r>
    </w:p>
    <w:p>
      <w:pPr>
        <w:numPr>
          <w:ilvl w:val="0"/>
          <w:numId w:val="1002"/>
        </w:numPr>
        <w:pStyle w:val="Compact"/>
      </w:pPr>
      <w:r>
        <w:t xml:space="preserve">Dry the cores in an oven at 105°C for 24 hours.</w:t>
      </w:r>
    </w:p>
    <w:p>
      <w:pPr>
        <w:numPr>
          <w:ilvl w:val="0"/>
          <w:numId w:val="1002"/>
        </w:numPr>
        <w:pStyle w:val="Compact"/>
      </w:pPr>
      <w:r>
        <w:t xml:space="preserve">Measure the dry weight and dimensions of each core to calculate porosity and permeability.</w:t>
      </w:r>
    </w:p>
    <w:bookmarkEnd w:id="24"/>
    <w:bookmarkStart w:id="25" w:name="saturation"/>
    <w:p>
      <w:pPr>
        <w:pStyle w:val="Heading3"/>
      </w:pPr>
      <w:r>
        <w:t xml:space="preserve">5.2 Saturation</w:t>
      </w:r>
    </w:p>
    <w:p>
      <w:pPr>
        <w:numPr>
          <w:ilvl w:val="0"/>
          <w:numId w:val="1003"/>
        </w:numPr>
        <w:pStyle w:val="Compact"/>
      </w:pPr>
      <w:r>
        <w:t xml:space="preserve">Saturate the cores with synthetic brine under vacuum to ensure 100% water saturation.</w:t>
      </w:r>
    </w:p>
    <w:p>
      <w:pPr>
        <w:numPr>
          <w:ilvl w:val="0"/>
          <w:numId w:val="1003"/>
        </w:numPr>
        <w:pStyle w:val="Compact"/>
      </w:pPr>
      <w:r>
        <w:t xml:space="preserve">Inject crude oil into the core holder at a constant rate to establish initial oil saturation (Swi).</w:t>
      </w:r>
    </w:p>
    <w:p>
      <w:pPr>
        <w:numPr>
          <w:ilvl w:val="0"/>
          <w:numId w:val="1003"/>
        </w:numPr>
        <w:pStyle w:val="Compact"/>
      </w:pPr>
      <w:r>
        <w:t xml:space="preserve">Allow the system to equilibrate at reservoir temperature (e.g., 80°C) and pressure (e.g., 3,000 psi).</w:t>
      </w:r>
    </w:p>
    <w:bookmarkEnd w:id="25"/>
    <w:bookmarkStart w:id="26" w:name="primary-recovery-water-flooding"/>
    <w:p>
      <w:pPr>
        <w:pStyle w:val="Heading3"/>
      </w:pPr>
      <w:r>
        <w:t xml:space="preserve">5.3 Primary Recovery (Water Flooding)</w:t>
      </w:r>
    </w:p>
    <w:p>
      <w:pPr>
        <w:numPr>
          <w:ilvl w:val="0"/>
          <w:numId w:val="1004"/>
        </w:numPr>
        <w:pStyle w:val="Compact"/>
      </w:pPr>
      <w:r>
        <w:t xml:space="preserve">Inject brine at a constant rate until the water cut reaches 98%.</w:t>
      </w:r>
    </w:p>
    <w:p>
      <w:pPr>
        <w:numPr>
          <w:ilvl w:val="0"/>
          <w:numId w:val="1004"/>
        </w:numPr>
        <w:pStyle w:val="Compact"/>
      </w:pPr>
      <w:r>
        <w:t xml:space="preserve">Record the volume of oil produced and the pressure drop across the core.</w:t>
      </w:r>
    </w:p>
    <w:bookmarkEnd w:id="26"/>
    <w:bookmarkStart w:id="27" w:name="secondary-recovery-co2-flooding"/>
    <w:p>
      <w:pPr>
        <w:pStyle w:val="Heading3"/>
      </w:pPr>
      <w:r>
        <w:t xml:space="preserve">5.4 Secondary Recovery (CO2 Flooding)</w:t>
      </w:r>
    </w:p>
    <w:p>
      <w:pPr>
        <w:numPr>
          <w:ilvl w:val="0"/>
          <w:numId w:val="1005"/>
        </w:numPr>
        <w:pStyle w:val="Compact"/>
      </w:pPr>
      <w:r>
        <w:t xml:space="preserve">Switch the injection fluid to CO2.</w:t>
      </w:r>
    </w:p>
    <w:p>
      <w:pPr>
        <w:numPr>
          <w:ilvl w:val="0"/>
          <w:numId w:val="1005"/>
        </w:numPr>
        <w:pStyle w:val="Compact"/>
      </w:pPr>
      <w:r>
        <w:t xml:space="preserve">Maintain the injection pressure above the Minimum Miscibility Pressure (MMP) of the crude oil.</w:t>
      </w:r>
    </w:p>
    <w:p>
      <w:pPr>
        <w:numPr>
          <w:ilvl w:val="0"/>
          <w:numId w:val="1005"/>
        </w:numPr>
        <w:pStyle w:val="Compact"/>
      </w:pPr>
      <w:r>
        <w:t xml:space="preserve">Continue injection until no more oil is produced or a total of 2 pore volumes of CO2 have been injected.</w:t>
      </w:r>
    </w:p>
    <w:p>
      <w:pPr>
        <w:numPr>
          <w:ilvl w:val="0"/>
          <w:numId w:val="1005"/>
        </w:numPr>
        <w:pStyle w:val="Compact"/>
      </w:pPr>
      <w:r>
        <w:t xml:space="preserve">Monitor the effluent for oil and water content.</w:t>
      </w:r>
    </w:p>
    <w:bookmarkEnd w:id="27"/>
    <w:bookmarkEnd w:id="28"/>
    <w:bookmarkStart w:id="29" w:name="data-analysis"/>
    <w:p>
      <w:pPr>
        <w:pStyle w:val="Heading2"/>
      </w:pPr>
      <w:r>
        <w:t xml:space="preserve">6. Data Analysis</w:t>
      </w:r>
    </w:p>
    <w:p>
      <w:pPr>
        <w:pStyle w:val="FirstParagraph"/>
      </w:pPr>
      <w:r>
        <w:t xml:space="preserve">The Petroleum Engineer must analyze the collected data to calculate the following:</w:t>
      </w:r>
    </w:p>
    <w:p>
      <w:pPr>
        <w:numPr>
          <w:ilvl w:val="0"/>
          <w:numId w:val="1006"/>
        </w:numPr>
        <w:pStyle w:val="Compact"/>
      </w:pPr>
      <w:r>
        <w:rPr>
          <w:bCs/>
          <w:b/>
        </w:rPr>
        <w:t xml:space="preserve">Recovery Factor:</w:t>
      </w:r>
      <w:r>
        <w:t xml:space="preserve"> </w:t>
      </w:r>
      <w:r>
        <w:t xml:space="preserve">The percentage of original oil in place (OOIP) recovered during water flooding and CO2 flooding.</w:t>
      </w:r>
    </w:p>
    <w:p>
      <w:pPr>
        <w:numPr>
          <w:ilvl w:val="0"/>
          <w:numId w:val="1006"/>
        </w:numPr>
        <w:pStyle w:val="Compact"/>
      </w:pPr>
      <w:r>
        <w:rPr>
          <w:bCs/>
          <w:b/>
        </w:rPr>
        <w:t xml:space="preserve">Incremental Recovery:</w:t>
      </w:r>
      <w:r>
        <w:t xml:space="preserve"> </w:t>
      </w:r>
      <w:r>
        <w:t xml:space="preserve">The additional oil recovered due to CO2 injection compared to water flooding alone.</w:t>
      </w:r>
    </w:p>
    <w:p>
      <w:pPr>
        <w:numPr>
          <w:ilvl w:val="0"/>
          <w:numId w:val="1006"/>
        </w:numPr>
        <w:pStyle w:val="Compact"/>
      </w:pPr>
      <w:r>
        <w:rPr>
          <w:bCs/>
          <w:b/>
        </w:rPr>
        <w:t xml:space="preserve">Relative Permeability:</w:t>
      </w:r>
      <w:r>
        <w:t xml:space="preserve"> </w:t>
      </w:r>
      <w:r>
        <w:t xml:space="preserve">The effective permeability of oil and water phases during the flooding process.</w:t>
      </w:r>
    </w:p>
    <w:p>
      <w:pPr>
        <w:pStyle w:val="FirstParagraph"/>
      </w:pPr>
      <w:r>
        <w:t xml:space="preserve">All calculations should be performed using standard petroleum engineering software (e.g., Eclipse, CMG) or validated spreadsheets.</w:t>
      </w:r>
    </w:p>
    <w:bookmarkEnd w:id="29"/>
    <w:bookmarkStart w:id="30" w:name="reporting-and-documentation"/>
    <w:p>
      <w:pPr>
        <w:pStyle w:val="Heading2"/>
      </w:pPr>
      <w:r>
        <w:t xml:space="preserve">7. Reporting and Documentation</w:t>
      </w:r>
    </w:p>
    <w:p>
      <w:pPr>
        <w:pStyle w:val="FirstParagraph"/>
      </w:pPr>
      <w:r>
        <w:t xml:space="preserve">A comprehensive report must be submitted to the supervising authority in New Delhi. The report should include:</w:t>
      </w:r>
    </w:p>
    <w:p>
      <w:pPr>
        <w:numPr>
          <w:ilvl w:val="0"/>
          <w:numId w:val="1007"/>
        </w:numPr>
        <w:pStyle w:val="Compact"/>
      </w:pPr>
      <w:r>
        <w:t xml:space="preserve">Experimental setup details and calibration certificates.</w:t>
      </w:r>
    </w:p>
    <w:p>
      <w:pPr>
        <w:numPr>
          <w:ilvl w:val="0"/>
          <w:numId w:val="1007"/>
        </w:numPr>
        <w:pStyle w:val="Compact"/>
      </w:pPr>
      <w:r>
        <w:t xml:space="preserve">Raw data logs and processed results.</w:t>
      </w:r>
    </w:p>
    <w:p>
      <w:pPr>
        <w:numPr>
          <w:ilvl w:val="0"/>
          <w:numId w:val="1007"/>
        </w:numPr>
        <w:pStyle w:val="Compact"/>
      </w:pPr>
      <w:r>
        <w:t xml:space="preserve">Discussion of results in the context of Indian reservoir conditions.</w:t>
      </w:r>
    </w:p>
    <w:p>
      <w:pPr>
        <w:numPr>
          <w:ilvl w:val="0"/>
          <w:numId w:val="1007"/>
        </w:numPr>
        <w:pStyle w:val="Compact"/>
      </w:pPr>
      <w:r>
        <w:t xml:space="preserve">Recommendations for field-scale implementation.</w:t>
      </w:r>
    </w:p>
    <w:bookmarkEnd w:id="30"/>
    <w:p>
      <w:pPr>
        <w:pStyle w:val="FirstParagraph"/>
      </w:pPr>
      <w:r>
        <w:rPr>
          <w:bCs/>
          <w:b/>
        </w:rPr>
        <w:t xml:space="preserve">Note:</w:t>
      </w:r>
      <w:r>
        <w:t xml:space="preserve"> </w:t>
      </w:r>
      <w:r>
        <w:t xml:space="preserve">This Experiment Protocol is subject to review and approval by the Institutional Ethics Committee and the relevant regulatory bodies in India New Delhi before commencement. Any deviations from this protocol must be documented and justified.</w:t>
      </w:r>
    </w:p>
    <w:p>
      <w:pPr>
        <w:pStyle w:val="BodyText"/>
      </w:pPr>
      <w:r>
        <w:rPr>
          <w:bCs/>
          <w:b/>
        </w:rPr>
        <w:t xml:space="preserve">Prepared By:</w:t>
      </w:r>
      <w:r>
        <w:br/>
      </w:r>
      <w:r>
        <w:t xml:space="preserve">[Name of Petroleum Engineer]</w:t>
      </w:r>
      <w:r>
        <w:br/>
      </w:r>
      <w:r>
        <w:t xml:space="preserve">[Designation]</w:t>
      </w:r>
    </w:p>
    <w:p>
      <w:pPr>
        <w:pStyle w:val="BodyText"/>
      </w:pPr>
      <w:r>
        <w:rPr>
          <w:bCs/>
          <w:b/>
        </w:rPr>
        <w:t xml:space="preserve">Approved By:</w:t>
      </w:r>
      <w:r>
        <w:br/>
      </w:r>
      <w:r>
        <w:t xml:space="preserve">[Name of Supervisor/Head of Department]</w:t>
      </w:r>
      <w:r>
        <w:br/>
      </w:r>
      <w:r>
        <w:t xml:space="preserve">[Designation]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Simulation for Petroleum Engineers in New Delhi, India</dc:title>
  <dc:creator/>
  <dc:language>en</dc:language>
  <cp:keywords/>
  <dcterms:created xsi:type="dcterms:W3CDTF">2026-10-10T03:20:41Z</dcterms:created>
  <dcterms:modified xsi:type="dcterms:W3CDTF">2026-10-10T03:20:41Z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